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D9" w:rsidRPr="009103D0" w:rsidRDefault="00A0240A" w:rsidP="00B1798D">
      <w:pPr>
        <w:jc w:val="center"/>
        <w:rPr>
          <w:rFonts w:ascii="Times New Roman" w:hAnsi="Times New Roman" w:cs="Times New Roman"/>
          <w:b/>
          <w:sz w:val="28"/>
          <w:szCs w:val="28"/>
          <w:lang w:val="en-US"/>
        </w:rPr>
      </w:pPr>
      <w:r w:rsidRPr="009103D0">
        <w:rPr>
          <w:rFonts w:ascii="Times New Roman" w:hAnsi="Times New Roman" w:cs="Times New Roman"/>
          <w:b/>
          <w:sz w:val="28"/>
          <w:szCs w:val="28"/>
          <w:lang w:val="en-US"/>
        </w:rPr>
        <w:t xml:space="preserve">Information </w:t>
      </w:r>
      <w:r w:rsidR="00B8638E" w:rsidRPr="009103D0">
        <w:rPr>
          <w:rFonts w:ascii="Times New Roman" w:hAnsi="Times New Roman" w:cs="Times New Roman"/>
          <w:b/>
          <w:sz w:val="28"/>
          <w:szCs w:val="28"/>
          <w:lang w:val="en-US"/>
        </w:rPr>
        <w:t xml:space="preserve">content </w:t>
      </w:r>
      <w:r w:rsidRPr="009103D0">
        <w:rPr>
          <w:rFonts w:ascii="Times New Roman" w:hAnsi="Times New Roman" w:cs="Times New Roman"/>
          <w:b/>
          <w:sz w:val="28"/>
          <w:szCs w:val="28"/>
          <w:lang w:val="en-US"/>
        </w:rPr>
        <w:t>of the Russian services</w:t>
      </w:r>
      <w:r w:rsidR="009103D0">
        <w:rPr>
          <w:rFonts w:ascii="Times New Roman" w:hAnsi="Times New Roman" w:cs="Times New Roman"/>
          <w:b/>
          <w:sz w:val="28"/>
          <w:szCs w:val="28"/>
          <w:lang w:val="en-US"/>
        </w:rPr>
        <w:t xml:space="preserve"> surveys</w:t>
      </w:r>
    </w:p>
    <w:p w:rsidR="00B1798D" w:rsidRPr="009103D0" w:rsidRDefault="000E4F47" w:rsidP="00B1798D">
      <w:pPr>
        <w:jc w:val="center"/>
        <w:rPr>
          <w:rFonts w:ascii="Times New Roman" w:hAnsi="Times New Roman" w:cs="Times New Roman"/>
          <w:sz w:val="24"/>
          <w:szCs w:val="24"/>
          <w:lang w:val="en-US"/>
        </w:rPr>
      </w:pPr>
      <w:r w:rsidRPr="009103D0">
        <w:rPr>
          <w:rFonts w:ascii="Times New Roman" w:hAnsi="Times New Roman" w:cs="Times New Roman"/>
          <w:sz w:val="24"/>
          <w:szCs w:val="24"/>
          <w:lang w:val="en-US"/>
        </w:rPr>
        <w:t xml:space="preserve">Tamara </w:t>
      </w:r>
      <w:proofErr w:type="spellStart"/>
      <w:r w:rsidRPr="009103D0">
        <w:rPr>
          <w:rFonts w:ascii="Times New Roman" w:hAnsi="Times New Roman" w:cs="Times New Roman"/>
          <w:sz w:val="24"/>
          <w:szCs w:val="24"/>
          <w:lang w:val="en-US"/>
        </w:rPr>
        <w:t>Lipkind</w:t>
      </w:r>
      <w:proofErr w:type="spellEnd"/>
      <w:r w:rsidR="00B1798D" w:rsidRPr="009103D0">
        <w:rPr>
          <w:rStyle w:val="a6"/>
          <w:rFonts w:ascii="Times New Roman" w:hAnsi="Times New Roman" w:cs="Times New Roman"/>
          <w:sz w:val="24"/>
          <w:szCs w:val="24"/>
        </w:rPr>
        <w:footnoteReference w:id="1"/>
      </w:r>
      <w:r w:rsidR="00B1798D" w:rsidRPr="009103D0">
        <w:rPr>
          <w:rFonts w:ascii="Times New Roman" w:hAnsi="Times New Roman" w:cs="Times New Roman"/>
          <w:sz w:val="24"/>
          <w:szCs w:val="24"/>
          <w:lang w:val="en-US"/>
        </w:rPr>
        <w:t xml:space="preserve">, </w:t>
      </w:r>
      <w:proofErr w:type="spellStart"/>
      <w:r w:rsidRPr="009103D0">
        <w:rPr>
          <w:rFonts w:ascii="Times New Roman" w:hAnsi="Times New Roman" w:cs="Times New Roman"/>
          <w:sz w:val="24"/>
          <w:szCs w:val="24"/>
          <w:lang w:val="en-US"/>
        </w:rPr>
        <w:t>Liudmila</w:t>
      </w:r>
      <w:proofErr w:type="spellEnd"/>
      <w:r w:rsidRPr="009103D0">
        <w:rPr>
          <w:rFonts w:ascii="Times New Roman" w:hAnsi="Times New Roman" w:cs="Times New Roman"/>
          <w:sz w:val="24"/>
          <w:szCs w:val="24"/>
          <w:lang w:val="en-US"/>
        </w:rPr>
        <w:t xml:space="preserve"> </w:t>
      </w:r>
      <w:proofErr w:type="spellStart"/>
      <w:r w:rsidRPr="009103D0">
        <w:rPr>
          <w:rFonts w:ascii="Times New Roman" w:hAnsi="Times New Roman" w:cs="Times New Roman"/>
          <w:sz w:val="24"/>
          <w:szCs w:val="24"/>
          <w:lang w:val="en-US"/>
        </w:rPr>
        <w:t>Kitrar</w:t>
      </w:r>
      <w:proofErr w:type="spellEnd"/>
      <w:r w:rsidR="00B1798D" w:rsidRPr="009103D0">
        <w:rPr>
          <w:rFonts w:ascii="Times New Roman" w:hAnsi="Times New Roman" w:cs="Times New Roman"/>
          <w:sz w:val="24"/>
          <w:szCs w:val="24"/>
          <w:lang w:val="en-US"/>
        </w:rPr>
        <w:t xml:space="preserve">, </w:t>
      </w:r>
      <w:proofErr w:type="spellStart"/>
      <w:r w:rsidR="00B1798D" w:rsidRPr="009103D0">
        <w:rPr>
          <w:rFonts w:ascii="Times New Roman" w:hAnsi="Times New Roman" w:cs="Times New Roman"/>
          <w:sz w:val="24"/>
          <w:szCs w:val="24"/>
          <w:lang w:val="en-US"/>
        </w:rPr>
        <w:t>Georgy</w:t>
      </w:r>
      <w:proofErr w:type="spellEnd"/>
      <w:r w:rsidR="00B1798D" w:rsidRPr="009103D0">
        <w:rPr>
          <w:rFonts w:ascii="Times New Roman" w:hAnsi="Times New Roman" w:cs="Times New Roman"/>
          <w:sz w:val="24"/>
          <w:szCs w:val="24"/>
          <w:lang w:val="en-US"/>
        </w:rPr>
        <w:t xml:space="preserve"> </w:t>
      </w:r>
      <w:proofErr w:type="spellStart"/>
      <w:r w:rsidR="00B1798D" w:rsidRPr="009103D0">
        <w:rPr>
          <w:rFonts w:ascii="Times New Roman" w:hAnsi="Times New Roman" w:cs="Times New Roman"/>
          <w:sz w:val="24"/>
          <w:szCs w:val="24"/>
          <w:lang w:val="en-US"/>
        </w:rPr>
        <w:t>Ostapkovich</w:t>
      </w:r>
      <w:proofErr w:type="spellEnd"/>
    </w:p>
    <w:p w:rsidR="009F2CC1" w:rsidRPr="004A3492" w:rsidRDefault="009F2CC1" w:rsidP="00B1798D">
      <w:pPr>
        <w:jc w:val="center"/>
        <w:rPr>
          <w:rFonts w:cstheme="minorHAnsi"/>
          <w:sz w:val="24"/>
          <w:szCs w:val="24"/>
          <w:lang w:val="en-US"/>
        </w:rPr>
      </w:pPr>
    </w:p>
    <w:p w:rsidR="009F2CC1" w:rsidRPr="00A77FEE" w:rsidRDefault="009F2CC1" w:rsidP="00E01656">
      <w:pPr>
        <w:keepNext/>
        <w:rPr>
          <w:rFonts w:ascii="Times New Roman" w:hAnsi="Times New Roman" w:cs="Times New Roman"/>
          <w:b/>
          <w:sz w:val="24"/>
          <w:szCs w:val="24"/>
          <w:lang w:val="en-US"/>
        </w:rPr>
      </w:pPr>
      <w:r w:rsidRPr="009103D0">
        <w:rPr>
          <w:rFonts w:ascii="Times New Roman" w:hAnsi="Times New Roman" w:cs="Times New Roman"/>
          <w:b/>
          <w:sz w:val="24"/>
          <w:szCs w:val="24"/>
          <w:lang w:val="en-GB"/>
        </w:rPr>
        <w:t>Abstract</w:t>
      </w:r>
    </w:p>
    <w:p w:rsidR="00510C6E" w:rsidRDefault="0089469D" w:rsidP="00AB1932">
      <w:pPr>
        <w:jc w:val="both"/>
        <w:rPr>
          <w:rFonts w:ascii="Times New Roman" w:hAnsi="Times New Roman" w:cs="Times New Roman"/>
          <w:sz w:val="24"/>
          <w:szCs w:val="24"/>
          <w:lang w:val="en-US"/>
        </w:rPr>
      </w:pPr>
      <w:r w:rsidRPr="009103D0">
        <w:rPr>
          <w:rFonts w:ascii="Times New Roman" w:hAnsi="Times New Roman" w:cs="Times New Roman"/>
          <w:sz w:val="24"/>
          <w:szCs w:val="24"/>
          <w:lang w:val="en-US"/>
        </w:rPr>
        <w:t xml:space="preserve">The paper explores </w:t>
      </w:r>
      <w:bookmarkStart w:id="0" w:name="_GoBack"/>
      <w:bookmarkEnd w:id="0"/>
      <w:r w:rsidR="0013747C">
        <w:rPr>
          <w:rFonts w:ascii="Times New Roman" w:hAnsi="Times New Roman" w:cs="Times New Roman"/>
          <w:sz w:val="24"/>
          <w:szCs w:val="24"/>
          <w:lang w:val="en-US"/>
        </w:rPr>
        <w:t>i</w:t>
      </w:r>
      <w:r w:rsidR="0013747C" w:rsidRPr="0013747C">
        <w:rPr>
          <w:rFonts w:ascii="Times New Roman" w:hAnsi="Times New Roman" w:cs="Times New Roman"/>
          <w:sz w:val="24"/>
          <w:szCs w:val="24"/>
          <w:lang w:val="en-US"/>
        </w:rPr>
        <w:t>nformation content of the Russian services surveys</w:t>
      </w:r>
      <w:r w:rsidR="00D430B3" w:rsidRPr="00D430B3">
        <w:rPr>
          <w:rFonts w:ascii="Times New Roman" w:hAnsi="Times New Roman" w:cs="Times New Roman"/>
          <w:sz w:val="24"/>
          <w:szCs w:val="24"/>
          <w:lang w:val="en-US"/>
        </w:rPr>
        <w:t xml:space="preserve"> </w:t>
      </w:r>
      <w:r w:rsidR="00714F65" w:rsidRPr="00714F65">
        <w:rPr>
          <w:rFonts w:ascii="Times New Roman" w:hAnsi="Times New Roman" w:cs="Times New Roman"/>
          <w:sz w:val="24"/>
          <w:szCs w:val="24"/>
          <w:lang w:val="en-US"/>
        </w:rPr>
        <w:t xml:space="preserve">using </w:t>
      </w:r>
      <w:r w:rsidR="00D430B3" w:rsidRPr="00D430B3">
        <w:rPr>
          <w:rFonts w:ascii="Times New Roman" w:hAnsi="Times New Roman" w:cs="Times New Roman"/>
          <w:sz w:val="24"/>
          <w:szCs w:val="24"/>
          <w:lang w:val="en-US"/>
        </w:rPr>
        <w:t xml:space="preserve">the regular BTS </w:t>
      </w:r>
      <w:r w:rsidR="00714F65" w:rsidRPr="00714F65">
        <w:rPr>
          <w:rFonts w:ascii="Times New Roman" w:hAnsi="Times New Roman" w:cs="Times New Roman"/>
          <w:sz w:val="24"/>
          <w:szCs w:val="24"/>
          <w:lang w:val="en-US"/>
        </w:rPr>
        <w:t>result</w:t>
      </w:r>
      <w:r w:rsidR="00714F65">
        <w:rPr>
          <w:rFonts w:ascii="Times New Roman" w:hAnsi="Times New Roman" w:cs="Times New Roman"/>
          <w:sz w:val="24"/>
          <w:szCs w:val="24"/>
          <w:lang w:val="en-US"/>
        </w:rPr>
        <w:t>s</w:t>
      </w:r>
      <w:r w:rsidR="00714F65" w:rsidRPr="00714F65">
        <w:rPr>
          <w:rFonts w:ascii="Times New Roman" w:hAnsi="Times New Roman" w:cs="Times New Roman"/>
          <w:sz w:val="24"/>
          <w:szCs w:val="24"/>
          <w:lang w:val="en-US"/>
        </w:rPr>
        <w:t xml:space="preserve"> </w:t>
      </w:r>
      <w:r w:rsidR="00714F65">
        <w:rPr>
          <w:rFonts w:ascii="Times New Roman" w:hAnsi="Times New Roman" w:cs="Times New Roman"/>
          <w:sz w:val="24"/>
          <w:szCs w:val="24"/>
          <w:lang w:val="en-US"/>
        </w:rPr>
        <w:t xml:space="preserve">since </w:t>
      </w:r>
      <w:r w:rsidR="00D430B3" w:rsidRPr="00D430B3">
        <w:rPr>
          <w:rFonts w:ascii="Times New Roman" w:hAnsi="Times New Roman" w:cs="Times New Roman"/>
          <w:sz w:val="24"/>
          <w:szCs w:val="24"/>
          <w:lang w:val="en-US"/>
        </w:rPr>
        <w:t>2012Q1 to 2017Q4.</w:t>
      </w:r>
      <w:r w:rsidR="00E44B82">
        <w:rPr>
          <w:rFonts w:ascii="Times New Roman" w:hAnsi="Times New Roman" w:cs="Times New Roman"/>
          <w:sz w:val="24"/>
          <w:szCs w:val="24"/>
          <w:lang w:val="en-US"/>
        </w:rPr>
        <w:t xml:space="preserve"> </w:t>
      </w:r>
      <w:r w:rsidR="00714F65" w:rsidRPr="00714F65">
        <w:rPr>
          <w:rFonts w:ascii="Times New Roman" w:hAnsi="Times New Roman" w:cs="Times New Roman"/>
          <w:sz w:val="24"/>
          <w:szCs w:val="24"/>
          <w:lang w:val="en-US"/>
        </w:rPr>
        <w:t xml:space="preserve">To </w:t>
      </w:r>
      <w:proofErr w:type="spellStart"/>
      <w:r w:rsidR="00714F65" w:rsidRPr="00714F65">
        <w:rPr>
          <w:rFonts w:ascii="Times New Roman" w:hAnsi="Times New Roman" w:cs="Times New Roman"/>
          <w:sz w:val="24"/>
          <w:szCs w:val="24"/>
          <w:lang w:val="en-US"/>
        </w:rPr>
        <w:t>summarise</w:t>
      </w:r>
      <w:proofErr w:type="spellEnd"/>
      <w:r w:rsidR="00714F65" w:rsidRPr="00714F65">
        <w:rPr>
          <w:rFonts w:ascii="Times New Roman" w:hAnsi="Times New Roman" w:cs="Times New Roman"/>
          <w:sz w:val="24"/>
          <w:szCs w:val="24"/>
          <w:lang w:val="en-US"/>
        </w:rPr>
        <w:t xml:space="preserve"> perceptions and expectations in a one-dimensional index and </w:t>
      </w:r>
      <w:proofErr w:type="spellStart"/>
      <w:r w:rsidR="00714F65" w:rsidRPr="00714F65">
        <w:rPr>
          <w:rFonts w:ascii="Times New Roman" w:hAnsi="Times New Roman" w:cs="Times New Roman"/>
          <w:sz w:val="24"/>
          <w:szCs w:val="24"/>
          <w:lang w:val="en-US"/>
        </w:rPr>
        <w:t>analyse</w:t>
      </w:r>
      <w:proofErr w:type="spellEnd"/>
      <w:r w:rsidR="00714F65" w:rsidRPr="00714F65">
        <w:rPr>
          <w:rFonts w:ascii="Times New Roman" w:hAnsi="Times New Roman" w:cs="Times New Roman"/>
          <w:sz w:val="24"/>
          <w:szCs w:val="24"/>
          <w:lang w:val="en-US"/>
        </w:rPr>
        <w:t xml:space="preserve"> economic development in the sector, the confidence and business climate indicator</w:t>
      </w:r>
      <w:r w:rsidR="00235FD0">
        <w:rPr>
          <w:rFonts w:ascii="Times New Roman" w:hAnsi="Times New Roman" w:cs="Times New Roman"/>
          <w:sz w:val="24"/>
          <w:szCs w:val="24"/>
          <w:lang w:val="en-US"/>
        </w:rPr>
        <w:t>s</w:t>
      </w:r>
      <w:r w:rsidR="00714F65" w:rsidRPr="00714F65">
        <w:rPr>
          <w:rFonts w:ascii="Times New Roman" w:hAnsi="Times New Roman" w:cs="Times New Roman"/>
          <w:sz w:val="24"/>
          <w:szCs w:val="24"/>
          <w:lang w:val="en-US"/>
        </w:rPr>
        <w:t xml:space="preserve"> are calculated. Within a VAR framework, the reaction of value added in services and GDP to shocks in business climate indicator </w:t>
      </w:r>
      <w:proofErr w:type="gramStart"/>
      <w:r w:rsidR="00714F65" w:rsidRPr="00714F65">
        <w:rPr>
          <w:rFonts w:ascii="Times New Roman" w:hAnsi="Times New Roman" w:cs="Times New Roman"/>
          <w:sz w:val="24"/>
          <w:szCs w:val="24"/>
          <w:lang w:val="en-US"/>
        </w:rPr>
        <w:t>was examined</w:t>
      </w:r>
      <w:proofErr w:type="gramEnd"/>
      <w:r w:rsidR="00714F65" w:rsidRPr="00714F65">
        <w:rPr>
          <w:rFonts w:ascii="Times New Roman" w:hAnsi="Times New Roman" w:cs="Times New Roman"/>
          <w:sz w:val="24"/>
          <w:szCs w:val="24"/>
          <w:lang w:val="en-US"/>
        </w:rPr>
        <w:t>.</w:t>
      </w:r>
    </w:p>
    <w:p w:rsidR="0013747C" w:rsidRDefault="00AB1932" w:rsidP="00AB1932">
      <w:pPr>
        <w:jc w:val="both"/>
        <w:rPr>
          <w:rFonts w:ascii="Times New Roman" w:hAnsi="Times New Roman" w:cs="Times New Roman"/>
          <w:sz w:val="24"/>
          <w:szCs w:val="24"/>
          <w:lang w:val="en-US"/>
        </w:rPr>
      </w:pPr>
      <w:r w:rsidRPr="00AB1932">
        <w:rPr>
          <w:rFonts w:ascii="Times New Roman" w:hAnsi="Times New Roman" w:cs="Times New Roman"/>
          <w:sz w:val="24"/>
          <w:szCs w:val="24"/>
          <w:lang w:val="en-US"/>
        </w:rPr>
        <w:t>The survey results provide reliable information on economic sentiment and business climate that is essential to measure recession and recovery development of the sector.</w:t>
      </w:r>
      <w:r w:rsidR="00E44B82">
        <w:rPr>
          <w:rFonts w:ascii="Times New Roman" w:hAnsi="Times New Roman" w:cs="Times New Roman"/>
          <w:sz w:val="24"/>
          <w:szCs w:val="24"/>
          <w:lang w:val="en-US"/>
        </w:rPr>
        <w:t xml:space="preserve"> </w:t>
      </w:r>
      <w:r w:rsidRPr="00AB1932">
        <w:rPr>
          <w:rFonts w:ascii="Times New Roman" w:hAnsi="Times New Roman" w:cs="Times New Roman"/>
          <w:sz w:val="24"/>
          <w:szCs w:val="24"/>
          <w:lang w:val="en-US"/>
        </w:rPr>
        <w:t xml:space="preserve">Since 2013, the survey’s results demonstrate a stable trend of "pessimism accumulation" in the main indicators dynamics. Aggregate entrepreneurial assessments reflect the weak and volatile demand for services, the deterioration in production and financial performance of service organizations and the unfavorable business climate in this sector. </w:t>
      </w:r>
      <w:r w:rsidR="00A13D53">
        <w:rPr>
          <w:rFonts w:ascii="Times New Roman" w:hAnsi="Times New Roman" w:cs="Times New Roman"/>
          <w:sz w:val="24"/>
          <w:szCs w:val="24"/>
          <w:lang w:val="en-US"/>
        </w:rPr>
        <w:t>The</w:t>
      </w:r>
      <w:r w:rsidRPr="00AB1932">
        <w:rPr>
          <w:rFonts w:ascii="Times New Roman" w:hAnsi="Times New Roman" w:cs="Times New Roman"/>
          <w:sz w:val="24"/>
          <w:szCs w:val="24"/>
          <w:lang w:val="en-US"/>
        </w:rPr>
        <w:t xml:space="preserve"> protracted decline in </w:t>
      </w:r>
      <w:r w:rsidR="00A13D53">
        <w:rPr>
          <w:rFonts w:ascii="Times New Roman" w:hAnsi="Times New Roman" w:cs="Times New Roman"/>
          <w:sz w:val="24"/>
          <w:szCs w:val="24"/>
          <w:lang w:val="en-US"/>
        </w:rPr>
        <w:t xml:space="preserve">the </w:t>
      </w:r>
      <w:r w:rsidR="00A13D53" w:rsidRPr="00A13D53">
        <w:rPr>
          <w:rFonts w:ascii="Times New Roman" w:hAnsi="Times New Roman" w:cs="Times New Roman"/>
          <w:sz w:val="24"/>
          <w:szCs w:val="24"/>
          <w:lang w:val="en-US"/>
        </w:rPr>
        <w:t>households</w:t>
      </w:r>
      <w:r w:rsidR="00A13D53">
        <w:rPr>
          <w:rFonts w:ascii="Times New Roman" w:hAnsi="Times New Roman" w:cs="Times New Roman"/>
          <w:sz w:val="24"/>
          <w:szCs w:val="24"/>
          <w:lang w:val="en-US"/>
        </w:rPr>
        <w:t>’</w:t>
      </w:r>
      <w:r w:rsidR="00A13D53" w:rsidRPr="00A13D53">
        <w:rPr>
          <w:rFonts w:ascii="Times New Roman" w:hAnsi="Times New Roman" w:cs="Times New Roman"/>
          <w:sz w:val="24"/>
          <w:szCs w:val="24"/>
          <w:lang w:val="en-US"/>
        </w:rPr>
        <w:t xml:space="preserve"> </w:t>
      </w:r>
      <w:r w:rsidRPr="00AB1932">
        <w:rPr>
          <w:rFonts w:ascii="Times New Roman" w:hAnsi="Times New Roman" w:cs="Times New Roman"/>
          <w:sz w:val="24"/>
          <w:szCs w:val="24"/>
          <w:lang w:val="en-US"/>
        </w:rPr>
        <w:t xml:space="preserve">real disposable incomes and weak consumer activity </w:t>
      </w:r>
      <w:r w:rsidR="00E44B82" w:rsidRPr="00E44B82">
        <w:rPr>
          <w:rFonts w:ascii="Times New Roman" w:hAnsi="Times New Roman" w:cs="Times New Roman"/>
          <w:sz w:val="24"/>
          <w:szCs w:val="24"/>
          <w:lang w:val="en-US"/>
        </w:rPr>
        <w:t>are the main factors of the services confidence flat path in 2017</w:t>
      </w:r>
      <w:r w:rsidR="00E44B82">
        <w:rPr>
          <w:rFonts w:ascii="Times New Roman" w:hAnsi="Times New Roman" w:cs="Times New Roman"/>
          <w:sz w:val="24"/>
          <w:szCs w:val="24"/>
          <w:lang w:val="en-US"/>
        </w:rPr>
        <w:t>.</w:t>
      </w:r>
    </w:p>
    <w:p w:rsidR="00E01656" w:rsidRPr="009103D0" w:rsidRDefault="00E01656" w:rsidP="009F2CC1">
      <w:pPr>
        <w:rPr>
          <w:rFonts w:ascii="Times New Roman" w:hAnsi="Times New Roman" w:cs="Times New Roman"/>
          <w:sz w:val="24"/>
          <w:szCs w:val="24"/>
          <w:lang w:val="en-US"/>
        </w:rPr>
      </w:pPr>
    </w:p>
    <w:p w:rsidR="009F2CC1" w:rsidRPr="009103D0" w:rsidRDefault="009F2CC1" w:rsidP="009F2CC1">
      <w:pPr>
        <w:rPr>
          <w:rFonts w:ascii="Times New Roman" w:hAnsi="Times New Roman" w:cs="Times New Roman"/>
          <w:sz w:val="24"/>
          <w:szCs w:val="24"/>
          <w:lang w:val="en-US"/>
        </w:rPr>
      </w:pPr>
      <w:r w:rsidRPr="009103D0">
        <w:rPr>
          <w:rFonts w:ascii="Times New Roman" w:hAnsi="Times New Roman" w:cs="Times New Roman"/>
          <w:sz w:val="24"/>
          <w:szCs w:val="24"/>
          <w:lang w:val="en-US"/>
        </w:rPr>
        <w:t xml:space="preserve">Keywords: </w:t>
      </w:r>
      <w:r w:rsidR="009103D0" w:rsidRPr="009103D0">
        <w:rPr>
          <w:rFonts w:ascii="Times New Roman" w:hAnsi="Times New Roman" w:cs="Times New Roman"/>
          <w:sz w:val="24"/>
          <w:szCs w:val="24"/>
          <w:lang w:val="en-US"/>
        </w:rPr>
        <w:t>services surveys</w:t>
      </w:r>
      <w:r w:rsidRPr="009103D0">
        <w:rPr>
          <w:rFonts w:ascii="Times New Roman" w:hAnsi="Times New Roman" w:cs="Times New Roman"/>
          <w:sz w:val="24"/>
          <w:szCs w:val="24"/>
          <w:lang w:val="en-US"/>
        </w:rPr>
        <w:t xml:space="preserve">, </w:t>
      </w:r>
      <w:r w:rsidR="00235FD0">
        <w:rPr>
          <w:rFonts w:ascii="Times New Roman" w:hAnsi="Times New Roman" w:cs="Times New Roman"/>
          <w:sz w:val="24"/>
          <w:szCs w:val="24"/>
          <w:lang w:val="en-US"/>
        </w:rPr>
        <w:t xml:space="preserve">confidence indicator, </w:t>
      </w:r>
      <w:r w:rsidR="009103D0" w:rsidRPr="009103D0">
        <w:rPr>
          <w:rFonts w:ascii="Times New Roman" w:hAnsi="Times New Roman" w:cs="Times New Roman"/>
          <w:sz w:val="24"/>
          <w:szCs w:val="24"/>
          <w:lang w:val="en-US"/>
        </w:rPr>
        <w:t xml:space="preserve">business climate </w:t>
      </w:r>
      <w:r w:rsidR="006C20F2" w:rsidRPr="009103D0">
        <w:rPr>
          <w:rFonts w:ascii="Times New Roman" w:hAnsi="Times New Roman" w:cs="Times New Roman"/>
          <w:sz w:val="24"/>
          <w:szCs w:val="24"/>
          <w:lang w:val="en-US"/>
        </w:rPr>
        <w:t>indicator</w:t>
      </w:r>
      <w:r w:rsidR="000C2555">
        <w:rPr>
          <w:rFonts w:ascii="Times New Roman" w:hAnsi="Times New Roman" w:cs="Times New Roman"/>
          <w:sz w:val="24"/>
          <w:szCs w:val="24"/>
          <w:lang w:val="en-US"/>
        </w:rPr>
        <w:t>, Russia</w:t>
      </w:r>
    </w:p>
    <w:p w:rsidR="009F2CC1" w:rsidRPr="009103D0" w:rsidRDefault="009F2CC1" w:rsidP="009F2CC1">
      <w:pPr>
        <w:rPr>
          <w:rFonts w:ascii="Times New Roman" w:hAnsi="Times New Roman" w:cs="Times New Roman"/>
          <w:sz w:val="24"/>
          <w:szCs w:val="24"/>
          <w:lang w:val="en-US"/>
        </w:rPr>
      </w:pPr>
    </w:p>
    <w:p w:rsidR="009F2CC1" w:rsidRPr="009103D0" w:rsidRDefault="009F2CC1" w:rsidP="009F2CC1">
      <w:pPr>
        <w:rPr>
          <w:rFonts w:ascii="Times New Roman" w:hAnsi="Times New Roman" w:cs="Times New Roman"/>
          <w:sz w:val="24"/>
          <w:szCs w:val="24"/>
          <w:lang w:val="en-US"/>
        </w:rPr>
      </w:pPr>
      <w:r w:rsidRPr="009103D0">
        <w:rPr>
          <w:rFonts w:ascii="Times New Roman" w:hAnsi="Times New Roman" w:cs="Times New Roman"/>
          <w:sz w:val="24"/>
          <w:szCs w:val="24"/>
          <w:lang w:val="en-US"/>
        </w:rPr>
        <w:t>JEL classification: C81, C82</w:t>
      </w:r>
      <w:r w:rsidR="00A77FEE">
        <w:rPr>
          <w:rFonts w:ascii="Times New Roman" w:hAnsi="Times New Roman" w:cs="Times New Roman"/>
          <w:sz w:val="24"/>
          <w:szCs w:val="24"/>
          <w:lang w:val="en-US"/>
        </w:rPr>
        <w:t xml:space="preserve">, </w:t>
      </w:r>
      <w:r w:rsidR="00CA1C69">
        <w:rPr>
          <w:rFonts w:ascii="Times New Roman" w:hAnsi="Times New Roman" w:cs="Times New Roman"/>
          <w:sz w:val="24"/>
          <w:szCs w:val="24"/>
          <w:lang w:val="en-US"/>
        </w:rPr>
        <w:t>L89</w:t>
      </w:r>
    </w:p>
    <w:p w:rsidR="00FD060E" w:rsidRPr="00FD060E" w:rsidRDefault="00FD060E" w:rsidP="00E44B82">
      <w:pPr>
        <w:keepNext/>
        <w:pageBreakBefore/>
        <w:spacing w:before="240" w:after="0" w:line="360" w:lineRule="auto"/>
        <w:ind w:left="142" w:firstLine="709"/>
        <w:jc w:val="both"/>
        <w:rPr>
          <w:rFonts w:ascii="Times New Roman" w:hAnsi="Times New Roman" w:cs="Times New Roman"/>
          <w:b/>
          <w:sz w:val="24"/>
          <w:szCs w:val="24"/>
          <w:lang w:val="en-US"/>
        </w:rPr>
      </w:pPr>
      <w:r w:rsidRPr="00FD060E">
        <w:rPr>
          <w:rFonts w:ascii="Times New Roman" w:hAnsi="Times New Roman" w:cs="Times New Roman"/>
          <w:b/>
          <w:sz w:val="24"/>
          <w:szCs w:val="24"/>
          <w:lang w:val="en-US"/>
        </w:rPr>
        <w:lastRenderedPageBreak/>
        <w:t>Introduction</w:t>
      </w:r>
    </w:p>
    <w:p w:rsidR="00EE3587" w:rsidRPr="00234CE9" w:rsidRDefault="00EE3587" w:rsidP="008D7C1A">
      <w:pPr>
        <w:spacing w:after="0" w:line="360" w:lineRule="auto"/>
        <w:ind w:left="142" w:firstLine="709"/>
        <w:jc w:val="both"/>
        <w:rPr>
          <w:rFonts w:ascii="Times New Roman" w:eastAsia="Times New Roman" w:hAnsi="Times New Roman" w:cs="Times New Roman"/>
          <w:sz w:val="24"/>
          <w:szCs w:val="24"/>
          <w:lang w:val="en-US" w:eastAsia="ru-RU"/>
        </w:rPr>
      </w:pPr>
      <w:r w:rsidRPr="00EE3587">
        <w:rPr>
          <w:rFonts w:ascii="Times New Roman" w:hAnsi="Times New Roman" w:cs="Times New Roman"/>
          <w:sz w:val="24"/>
          <w:szCs w:val="24"/>
          <w:lang w:val="en"/>
        </w:rPr>
        <w:t xml:space="preserve">Over the past 15 years, the </w:t>
      </w:r>
      <w:r w:rsidR="00A13D53">
        <w:rPr>
          <w:rFonts w:ascii="Times New Roman" w:hAnsi="Times New Roman" w:cs="Times New Roman"/>
          <w:sz w:val="24"/>
          <w:szCs w:val="24"/>
          <w:lang w:val="en"/>
        </w:rPr>
        <w:t xml:space="preserve">Russian </w:t>
      </w:r>
      <w:r w:rsidR="00CA1C69">
        <w:rPr>
          <w:rFonts w:ascii="Times New Roman" w:hAnsi="Times New Roman" w:cs="Times New Roman"/>
          <w:sz w:val="24"/>
          <w:szCs w:val="24"/>
          <w:lang w:val="en"/>
        </w:rPr>
        <w:t>s</w:t>
      </w:r>
      <w:r w:rsidR="00CA1C69" w:rsidRPr="00CA1C69">
        <w:rPr>
          <w:rFonts w:ascii="Times New Roman" w:hAnsi="Times New Roman" w:cs="Times New Roman"/>
          <w:sz w:val="24"/>
          <w:szCs w:val="24"/>
          <w:lang w:val="en"/>
        </w:rPr>
        <w:t xml:space="preserve">ervices sector </w:t>
      </w:r>
      <w:r w:rsidR="002A25B7">
        <w:rPr>
          <w:rFonts w:ascii="Times New Roman" w:hAnsi="Times New Roman" w:cs="Times New Roman"/>
          <w:sz w:val="24"/>
          <w:szCs w:val="24"/>
          <w:lang w:val="en"/>
        </w:rPr>
        <w:t xml:space="preserve">demonstrates the </w:t>
      </w:r>
      <w:r w:rsidRPr="00EE3587">
        <w:rPr>
          <w:rFonts w:ascii="Times New Roman" w:hAnsi="Times New Roman" w:cs="Times New Roman"/>
          <w:sz w:val="24"/>
          <w:szCs w:val="24"/>
          <w:lang w:val="en"/>
        </w:rPr>
        <w:t xml:space="preserve">most intensive growth of </w:t>
      </w:r>
      <w:r w:rsidR="002A25B7">
        <w:rPr>
          <w:rFonts w:ascii="Times New Roman" w:hAnsi="Times New Roman" w:cs="Times New Roman"/>
          <w:sz w:val="24"/>
          <w:szCs w:val="24"/>
          <w:lang w:val="en"/>
        </w:rPr>
        <w:t xml:space="preserve">the </w:t>
      </w:r>
      <w:r w:rsidRPr="00EE3587">
        <w:rPr>
          <w:rFonts w:ascii="Times New Roman" w:hAnsi="Times New Roman" w:cs="Times New Roman"/>
          <w:sz w:val="24"/>
          <w:szCs w:val="24"/>
          <w:lang w:val="en"/>
        </w:rPr>
        <w:t xml:space="preserve">gross value added </w:t>
      </w:r>
      <w:r w:rsidRPr="00EE3587">
        <w:rPr>
          <w:rFonts w:ascii="Times New Roman" w:hAnsi="Times New Roman" w:cs="Times New Roman"/>
          <w:sz w:val="24"/>
          <w:szCs w:val="24"/>
          <w:lang w:val="en-US"/>
        </w:rPr>
        <w:t>(</w:t>
      </w:r>
      <w:r>
        <w:rPr>
          <w:rFonts w:ascii="Times New Roman" w:hAnsi="Times New Roman" w:cs="Times New Roman"/>
          <w:sz w:val="24"/>
          <w:szCs w:val="24"/>
          <w:lang w:val="en-US"/>
        </w:rPr>
        <w:t xml:space="preserve">GVA) </w:t>
      </w:r>
      <w:r w:rsidRPr="00EE3587">
        <w:rPr>
          <w:rFonts w:ascii="Times New Roman" w:hAnsi="Times New Roman" w:cs="Times New Roman"/>
          <w:sz w:val="24"/>
          <w:szCs w:val="24"/>
          <w:lang w:val="en"/>
        </w:rPr>
        <w:t>in Russia</w:t>
      </w:r>
      <w:r w:rsidR="00FD060E" w:rsidRPr="00FD060E">
        <w:rPr>
          <w:lang w:val="en-US"/>
        </w:rPr>
        <w:t xml:space="preserve"> </w:t>
      </w:r>
      <w:r w:rsidRPr="00234CE9">
        <w:rPr>
          <w:rFonts w:ascii="Times New Roman" w:hAnsi="Times New Roman" w:cs="Times New Roman"/>
          <w:sz w:val="24"/>
          <w:szCs w:val="24"/>
          <w:lang w:val="en"/>
        </w:rPr>
        <w:sym w:font="Symbol" w:char="F05B"/>
      </w:r>
      <w:proofErr w:type="spellStart"/>
      <w:r w:rsidR="00A70222" w:rsidRPr="00234CE9">
        <w:rPr>
          <w:rFonts w:ascii="Times New Roman" w:hAnsi="Times New Roman" w:cs="Times New Roman"/>
          <w:sz w:val="24"/>
          <w:szCs w:val="24"/>
          <w:lang w:val="en"/>
        </w:rPr>
        <w:t>Kitrar</w:t>
      </w:r>
      <w:proofErr w:type="spellEnd"/>
      <w:r w:rsidR="00A70222" w:rsidRPr="00234CE9">
        <w:rPr>
          <w:rFonts w:ascii="Times New Roman" w:hAnsi="Times New Roman" w:cs="Times New Roman"/>
          <w:sz w:val="24"/>
          <w:szCs w:val="24"/>
          <w:lang w:val="en"/>
        </w:rPr>
        <w:t xml:space="preserve"> and </w:t>
      </w:r>
      <w:proofErr w:type="spellStart"/>
      <w:r w:rsidR="00A70222" w:rsidRPr="00234CE9">
        <w:rPr>
          <w:rFonts w:ascii="Times New Roman" w:hAnsi="Times New Roman" w:cs="Times New Roman"/>
          <w:sz w:val="24"/>
          <w:szCs w:val="24"/>
          <w:lang w:val="en"/>
        </w:rPr>
        <w:t>Upadhyaya</w:t>
      </w:r>
      <w:proofErr w:type="spellEnd"/>
      <w:r w:rsidR="00A70222" w:rsidRPr="00234CE9">
        <w:rPr>
          <w:rFonts w:ascii="Times New Roman" w:hAnsi="Times New Roman" w:cs="Times New Roman"/>
          <w:sz w:val="24"/>
          <w:szCs w:val="24"/>
          <w:lang w:val="en"/>
        </w:rPr>
        <w:t xml:space="preserve">, </w:t>
      </w:r>
      <w:proofErr w:type="gramStart"/>
      <w:r w:rsidR="00A70222" w:rsidRPr="00234CE9">
        <w:rPr>
          <w:rFonts w:ascii="Times New Roman" w:hAnsi="Times New Roman" w:cs="Times New Roman"/>
          <w:sz w:val="24"/>
          <w:szCs w:val="24"/>
          <w:lang w:val="en"/>
        </w:rPr>
        <w:t>2017</w:t>
      </w:r>
      <w:r w:rsidRPr="00234CE9">
        <w:rPr>
          <w:rFonts w:ascii="Times New Roman" w:hAnsi="Times New Roman" w:cs="Times New Roman"/>
          <w:sz w:val="24"/>
          <w:szCs w:val="24"/>
          <w:lang w:val="en"/>
        </w:rPr>
        <w:sym w:font="Symbol" w:char="F05D"/>
      </w:r>
      <w:r w:rsidR="00124A56" w:rsidRPr="00234CE9">
        <w:rPr>
          <w:rFonts w:ascii="Times New Roman" w:hAnsi="Times New Roman" w:cs="Times New Roman"/>
          <w:sz w:val="24"/>
          <w:szCs w:val="24"/>
          <w:lang w:val="en"/>
        </w:rPr>
        <w:t>;</w:t>
      </w:r>
      <w:proofErr w:type="gramEnd"/>
      <w:r w:rsidR="00124A56" w:rsidRPr="00234CE9">
        <w:rPr>
          <w:rFonts w:ascii="Times New Roman" w:hAnsi="Times New Roman" w:cs="Times New Roman"/>
          <w:sz w:val="24"/>
          <w:szCs w:val="24"/>
          <w:lang w:val="en"/>
        </w:rPr>
        <w:t xml:space="preserve"> it </w:t>
      </w:r>
      <w:r w:rsidR="00F71F80" w:rsidRPr="00234CE9">
        <w:rPr>
          <w:rFonts w:ascii="Times New Roman" w:hAnsi="Times New Roman" w:cs="Times New Roman"/>
          <w:sz w:val="24"/>
          <w:szCs w:val="24"/>
          <w:lang w:val="en"/>
        </w:rPr>
        <w:t xml:space="preserve">was a driver of </w:t>
      </w:r>
      <w:r w:rsidR="00124A56" w:rsidRPr="00234CE9">
        <w:rPr>
          <w:rFonts w:ascii="Times New Roman" w:hAnsi="Times New Roman" w:cs="Times New Roman"/>
          <w:sz w:val="24"/>
          <w:szCs w:val="24"/>
          <w:lang w:val="en"/>
        </w:rPr>
        <w:t>the</w:t>
      </w:r>
      <w:r w:rsidR="00F71F80" w:rsidRPr="00234CE9">
        <w:rPr>
          <w:lang w:val="en-US"/>
        </w:rPr>
        <w:t xml:space="preserve"> </w:t>
      </w:r>
      <w:r w:rsidR="00F71F80" w:rsidRPr="00234CE9">
        <w:rPr>
          <w:rFonts w:ascii="Times New Roman" w:hAnsi="Times New Roman" w:cs="Times New Roman"/>
          <w:sz w:val="24"/>
          <w:szCs w:val="24"/>
          <w:lang w:val="en"/>
        </w:rPr>
        <w:t>GDP</w:t>
      </w:r>
      <w:r w:rsidR="00124A56" w:rsidRPr="00234CE9">
        <w:rPr>
          <w:rFonts w:ascii="Times New Roman" w:hAnsi="Times New Roman" w:cs="Times New Roman"/>
          <w:sz w:val="24"/>
          <w:szCs w:val="24"/>
          <w:lang w:val="en"/>
        </w:rPr>
        <w:t xml:space="preserve"> sustainable growth </w:t>
      </w:r>
      <w:r w:rsidR="002A25B7">
        <w:rPr>
          <w:rFonts w:ascii="Times New Roman" w:hAnsi="Times New Roman" w:cs="Times New Roman"/>
          <w:sz w:val="24"/>
          <w:szCs w:val="24"/>
          <w:lang w:val="en"/>
        </w:rPr>
        <w:t>(</w:t>
      </w:r>
      <w:r w:rsidR="00F71F80" w:rsidRPr="00234CE9">
        <w:rPr>
          <w:rFonts w:ascii="Times New Roman" w:hAnsi="Times New Roman" w:cs="Times New Roman"/>
          <w:sz w:val="24"/>
          <w:szCs w:val="24"/>
          <w:lang w:val="en"/>
        </w:rPr>
        <w:t>e</w:t>
      </w:r>
      <w:r w:rsidRPr="00234CE9">
        <w:rPr>
          <w:rFonts w:ascii="Times New Roman" w:hAnsi="Times New Roman" w:cs="Times New Roman"/>
          <w:sz w:val="24"/>
          <w:szCs w:val="24"/>
          <w:lang w:val="en"/>
        </w:rPr>
        <w:t>xcepti</w:t>
      </w:r>
      <w:r w:rsidR="00124A56" w:rsidRPr="00234CE9">
        <w:rPr>
          <w:rFonts w:ascii="Times New Roman" w:hAnsi="Times New Roman" w:cs="Times New Roman"/>
          <w:sz w:val="24"/>
          <w:szCs w:val="24"/>
          <w:lang w:val="en"/>
        </w:rPr>
        <w:t>ng</w:t>
      </w:r>
      <w:r w:rsidRPr="00234CE9">
        <w:rPr>
          <w:rFonts w:ascii="Times New Roman" w:hAnsi="Times New Roman" w:cs="Times New Roman"/>
          <w:sz w:val="24"/>
          <w:szCs w:val="24"/>
          <w:lang w:val="en"/>
        </w:rPr>
        <w:t xml:space="preserve"> </w:t>
      </w:r>
      <w:r w:rsidR="00124A56" w:rsidRPr="00234CE9">
        <w:rPr>
          <w:rFonts w:ascii="Times New Roman" w:hAnsi="Times New Roman" w:cs="Times New Roman"/>
          <w:sz w:val="24"/>
          <w:szCs w:val="24"/>
          <w:lang w:val="en"/>
        </w:rPr>
        <w:t>the</w:t>
      </w:r>
      <w:r w:rsidRPr="00234CE9">
        <w:rPr>
          <w:rFonts w:ascii="Times New Roman" w:hAnsi="Times New Roman" w:cs="Times New Roman"/>
          <w:sz w:val="24"/>
          <w:szCs w:val="24"/>
          <w:lang w:val="en"/>
        </w:rPr>
        <w:t xml:space="preserve"> periods of cyclical recession</w:t>
      </w:r>
      <w:r w:rsidR="002A25B7">
        <w:rPr>
          <w:rFonts w:ascii="Times New Roman" w:hAnsi="Times New Roman" w:cs="Times New Roman"/>
          <w:sz w:val="24"/>
          <w:szCs w:val="24"/>
          <w:lang w:val="en"/>
        </w:rPr>
        <w:t>)</w:t>
      </w:r>
      <w:r w:rsidR="00124A56" w:rsidRPr="00234CE9">
        <w:rPr>
          <w:rFonts w:ascii="Times New Roman" w:hAnsi="Times New Roman" w:cs="Times New Roman"/>
          <w:sz w:val="24"/>
          <w:szCs w:val="24"/>
          <w:lang w:val="en"/>
        </w:rPr>
        <w:t xml:space="preserve">. </w:t>
      </w:r>
      <w:r w:rsidR="008D7C1A" w:rsidRPr="00234CE9">
        <w:rPr>
          <w:rFonts w:ascii="Times New Roman" w:eastAsia="Times New Roman" w:hAnsi="Times New Roman" w:cs="Times New Roman"/>
          <w:sz w:val="24"/>
          <w:szCs w:val="24"/>
          <w:lang w:val="en-US" w:eastAsia="ru-RU"/>
        </w:rPr>
        <w:t xml:space="preserve">The </w:t>
      </w:r>
      <w:r w:rsidR="00A13D53">
        <w:rPr>
          <w:rFonts w:ascii="Times New Roman" w:eastAsia="Times New Roman" w:hAnsi="Times New Roman" w:cs="Times New Roman"/>
          <w:sz w:val="24"/>
          <w:szCs w:val="24"/>
          <w:lang w:val="en-US" w:eastAsia="ru-RU"/>
        </w:rPr>
        <w:t xml:space="preserve">services </w:t>
      </w:r>
      <w:r w:rsidR="008D7C1A" w:rsidRPr="00234CE9">
        <w:rPr>
          <w:rFonts w:ascii="Times New Roman" w:eastAsia="Times New Roman" w:hAnsi="Times New Roman" w:cs="Times New Roman"/>
          <w:sz w:val="24"/>
          <w:szCs w:val="24"/>
          <w:lang w:val="en-US" w:eastAsia="ru-RU"/>
        </w:rPr>
        <w:t xml:space="preserve">contribution to the </w:t>
      </w:r>
      <w:r w:rsidR="00A13D53">
        <w:rPr>
          <w:rFonts w:ascii="Times New Roman" w:eastAsia="Times New Roman" w:hAnsi="Times New Roman" w:cs="Times New Roman"/>
          <w:sz w:val="24"/>
          <w:szCs w:val="24"/>
          <w:lang w:val="en-US" w:eastAsia="ru-RU"/>
        </w:rPr>
        <w:t xml:space="preserve">national </w:t>
      </w:r>
      <w:r w:rsidR="008D7C1A" w:rsidRPr="00234CE9">
        <w:rPr>
          <w:rFonts w:ascii="Times New Roman" w:eastAsia="Times New Roman" w:hAnsi="Times New Roman" w:cs="Times New Roman"/>
          <w:sz w:val="24"/>
          <w:szCs w:val="24"/>
          <w:lang w:val="en-US" w:eastAsia="ru-RU"/>
        </w:rPr>
        <w:t>economy</w:t>
      </w:r>
      <w:r w:rsidR="00FD060E" w:rsidRPr="00234CE9">
        <w:rPr>
          <w:rFonts w:ascii="Times New Roman" w:eastAsia="Times New Roman" w:hAnsi="Times New Roman" w:cs="Times New Roman"/>
          <w:sz w:val="24"/>
          <w:szCs w:val="24"/>
          <w:lang w:val="en-US" w:eastAsia="ru-RU"/>
        </w:rPr>
        <w:t xml:space="preserve"> </w:t>
      </w:r>
      <w:r w:rsidR="00CA1C69" w:rsidRPr="00CA1C69">
        <w:rPr>
          <w:rFonts w:ascii="Times New Roman" w:eastAsia="Times New Roman" w:hAnsi="Times New Roman" w:cs="Times New Roman"/>
          <w:sz w:val="24"/>
          <w:szCs w:val="24"/>
          <w:lang w:val="en-US" w:eastAsia="ru-RU"/>
        </w:rPr>
        <w:t>increas</w:t>
      </w:r>
      <w:r w:rsidR="002A25B7">
        <w:rPr>
          <w:rFonts w:ascii="Times New Roman" w:eastAsia="Times New Roman" w:hAnsi="Times New Roman" w:cs="Times New Roman"/>
          <w:sz w:val="24"/>
          <w:szCs w:val="24"/>
          <w:lang w:val="en-US" w:eastAsia="ru-RU"/>
        </w:rPr>
        <w:t>es</w:t>
      </w:r>
      <w:r w:rsidR="00CA1C69">
        <w:rPr>
          <w:rFonts w:ascii="Times New Roman" w:eastAsia="Times New Roman" w:hAnsi="Times New Roman" w:cs="Times New Roman"/>
          <w:sz w:val="24"/>
          <w:szCs w:val="24"/>
          <w:lang w:val="en-US" w:eastAsia="ru-RU"/>
        </w:rPr>
        <w:t>,</w:t>
      </w:r>
      <w:r w:rsidR="00FD060E" w:rsidRPr="00234CE9">
        <w:rPr>
          <w:rFonts w:ascii="Times New Roman" w:eastAsia="Times New Roman" w:hAnsi="Times New Roman" w:cs="Times New Roman"/>
          <w:sz w:val="24"/>
          <w:szCs w:val="24"/>
          <w:lang w:val="en-US" w:eastAsia="ru-RU"/>
        </w:rPr>
        <w:t xml:space="preserve"> </w:t>
      </w:r>
      <w:r w:rsidR="008D7C1A" w:rsidRPr="00234CE9">
        <w:rPr>
          <w:rFonts w:ascii="Times New Roman" w:eastAsia="Times New Roman" w:hAnsi="Times New Roman" w:cs="Times New Roman"/>
          <w:sz w:val="24"/>
          <w:szCs w:val="24"/>
          <w:lang w:val="en-US" w:eastAsia="ru-RU"/>
        </w:rPr>
        <w:t xml:space="preserve">and by </w:t>
      </w:r>
      <w:r w:rsidR="002A25B7" w:rsidRPr="00234CE9">
        <w:rPr>
          <w:rFonts w:ascii="Times New Roman" w:eastAsia="Times New Roman" w:hAnsi="Times New Roman" w:cs="Times New Roman"/>
          <w:sz w:val="24"/>
          <w:szCs w:val="24"/>
          <w:lang w:val="en-US" w:eastAsia="ru-RU"/>
        </w:rPr>
        <w:t>2010,</w:t>
      </w:r>
      <w:r w:rsidR="008D7C1A" w:rsidRPr="00234CE9">
        <w:rPr>
          <w:rFonts w:ascii="Times New Roman" w:eastAsia="Times New Roman" w:hAnsi="Times New Roman" w:cs="Times New Roman"/>
          <w:sz w:val="24"/>
          <w:szCs w:val="24"/>
          <w:lang w:val="en-US" w:eastAsia="ru-RU"/>
        </w:rPr>
        <w:t xml:space="preserve"> it had reached about </w:t>
      </w:r>
      <w:r w:rsidR="00FD060E" w:rsidRPr="00234CE9">
        <w:rPr>
          <w:rFonts w:ascii="Times New Roman" w:eastAsia="Times New Roman" w:hAnsi="Times New Roman" w:cs="Times New Roman"/>
          <w:sz w:val="24"/>
          <w:szCs w:val="24"/>
          <w:lang w:val="en-US" w:eastAsia="ru-RU"/>
        </w:rPr>
        <w:t xml:space="preserve">a </w:t>
      </w:r>
      <w:r w:rsidR="008D7C1A" w:rsidRPr="00234CE9">
        <w:rPr>
          <w:rFonts w:ascii="Times New Roman" w:eastAsia="Times New Roman" w:hAnsi="Times New Roman" w:cs="Times New Roman"/>
          <w:sz w:val="24"/>
          <w:szCs w:val="24"/>
          <w:lang w:val="en-US" w:eastAsia="ru-RU"/>
        </w:rPr>
        <w:t xml:space="preserve">half of </w:t>
      </w:r>
      <w:r w:rsidR="00CD4FEC">
        <w:rPr>
          <w:rFonts w:ascii="Times New Roman" w:eastAsia="Times New Roman" w:hAnsi="Times New Roman" w:cs="Times New Roman"/>
          <w:sz w:val="24"/>
          <w:szCs w:val="24"/>
          <w:lang w:val="en-US" w:eastAsia="ru-RU"/>
        </w:rPr>
        <w:t>GVA</w:t>
      </w:r>
      <w:r w:rsidR="008D7C1A" w:rsidRPr="00234CE9">
        <w:rPr>
          <w:rFonts w:ascii="Times New Roman" w:eastAsia="Times New Roman" w:hAnsi="Times New Roman" w:cs="Times New Roman"/>
          <w:sz w:val="24"/>
          <w:szCs w:val="24"/>
          <w:lang w:val="en-US" w:eastAsia="ru-RU"/>
        </w:rPr>
        <w:t xml:space="preserve">. It resulted in the </w:t>
      </w:r>
      <w:r w:rsidRPr="00234CE9">
        <w:rPr>
          <w:rFonts w:ascii="Times New Roman" w:hAnsi="Times New Roman" w:cs="Times New Roman"/>
          <w:sz w:val="24"/>
          <w:szCs w:val="24"/>
          <w:lang w:val="en"/>
        </w:rPr>
        <w:t>premature de-industrialization</w:t>
      </w:r>
      <w:r w:rsidR="008D7C1A" w:rsidRPr="00234CE9">
        <w:rPr>
          <w:rFonts w:ascii="Times New Roman" w:hAnsi="Times New Roman" w:cs="Times New Roman"/>
          <w:sz w:val="24"/>
          <w:szCs w:val="24"/>
          <w:lang w:val="en"/>
        </w:rPr>
        <w:t xml:space="preserve"> at the background </w:t>
      </w:r>
      <w:r w:rsidRPr="00234CE9">
        <w:rPr>
          <w:rFonts w:ascii="Times New Roman" w:hAnsi="Times New Roman" w:cs="Times New Roman"/>
          <w:sz w:val="24"/>
          <w:szCs w:val="24"/>
          <w:lang w:val="en"/>
        </w:rPr>
        <w:t xml:space="preserve">of rather low and unstable incomes of economic agents, especially </w:t>
      </w:r>
      <w:r w:rsidR="00FD060E" w:rsidRPr="00234CE9">
        <w:rPr>
          <w:rFonts w:ascii="Times New Roman" w:hAnsi="Times New Roman" w:cs="Times New Roman"/>
          <w:sz w:val="24"/>
          <w:szCs w:val="24"/>
          <w:lang w:val="en"/>
        </w:rPr>
        <w:t>among</w:t>
      </w:r>
      <w:r w:rsidRPr="00234CE9">
        <w:rPr>
          <w:rFonts w:ascii="Times New Roman" w:hAnsi="Times New Roman" w:cs="Times New Roman"/>
          <w:sz w:val="24"/>
          <w:szCs w:val="24"/>
          <w:lang w:val="en"/>
        </w:rPr>
        <w:t xml:space="preserve"> </w:t>
      </w:r>
      <w:r w:rsidR="008D7C1A" w:rsidRPr="00234CE9">
        <w:rPr>
          <w:rFonts w:ascii="Times New Roman" w:hAnsi="Times New Roman" w:cs="Times New Roman"/>
          <w:sz w:val="24"/>
          <w:szCs w:val="24"/>
          <w:lang w:val="en"/>
        </w:rPr>
        <w:t>non-resource-based</w:t>
      </w:r>
      <w:r w:rsidRPr="00234CE9">
        <w:rPr>
          <w:rFonts w:ascii="Times New Roman" w:hAnsi="Times New Roman" w:cs="Times New Roman"/>
          <w:sz w:val="24"/>
          <w:szCs w:val="24"/>
          <w:lang w:val="en"/>
        </w:rPr>
        <w:t xml:space="preserve"> exporters</w:t>
      </w:r>
      <w:r w:rsidR="00FD060E" w:rsidRPr="00234CE9">
        <w:rPr>
          <w:rFonts w:ascii="Times New Roman" w:hAnsi="Times New Roman" w:cs="Times New Roman"/>
          <w:sz w:val="24"/>
          <w:szCs w:val="24"/>
          <w:lang w:val="en"/>
        </w:rPr>
        <w:t xml:space="preserve"> and</w:t>
      </w:r>
      <w:r w:rsidRPr="00234CE9">
        <w:rPr>
          <w:rFonts w:ascii="Times New Roman" w:hAnsi="Times New Roman" w:cs="Times New Roman"/>
          <w:sz w:val="24"/>
          <w:szCs w:val="24"/>
          <w:lang w:val="en"/>
        </w:rPr>
        <w:t xml:space="preserve"> households</w:t>
      </w:r>
      <w:r w:rsidR="008D7C1A" w:rsidRPr="00234CE9">
        <w:rPr>
          <w:rFonts w:ascii="Times New Roman" w:hAnsi="Times New Roman" w:cs="Times New Roman"/>
          <w:sz w:val="24"/>
          <w:szCs w:val="24"/>
          <w:lang w:val="en"/>
        </w:rPr>
        <w:t>.</w:t>
      </w:r>
    </w:p>
    <w:p w:rsidR="008D7C1A" w:rsidRDefault="002A25B7" w:rsidP="00EE3587">
      <w:pPr>
        <w:spacing w:after="0" w:line="360" w:lineRule="auto"/>
        <w:ind w:left="142" w:firstLine="709"/>
        <w:jc w:val="both"/>
        <w:rPr>
          <w:rFonts w:ascii="Times New Roman" w:eastAsia="Times New Roman" w:hAnsi="Times New Roman" w:cs="Times New Roman"/>
          <w:sz w:val="24"/>
          <w:szCs w:val="24"/>
          <w:lang w:val="en-US" w:eastAsia="ru-RU"/>
        </w:rPr>
      </w:pPr>
      <w:r w:rsidRPr="002A25B7">
        <w:rPr>
          <w:rFonts w:ascii="Times New Roman" w:eastAsia="Times New Roman" w:hAnsi="Times New Roman" w:cs="Times New Roman"/>
          <w:sz w:val="24"/>
          <w:szCs w:val="24"/>
          <w:lang w:val="en-US" w:eastAsia="ru-RU"/>
        </w:rPr>
        <w:t>The protracted nature of such development and the lack of adequate structural reforms that could encourage a sustainable intensive growth, help to surmount the series of recurring crises and stagnations, to break the country's dependence on commodity prices – all these factors have become crucial for the Russian economy, especially since 2012</w:t>
      </w:r>
      <w:r>
        <w:rPr>
          <w:rFonts w:ascii="Times New Roman" w:eastAsia="Times New Roman" w:hAnsi="Times New Roman" w:cs="Times New Roman"/>
          <w:sz w:val="24"/>
          <w:szCs w:val="24"/>
          <w:lang w:val="en-US" w:eastAsia="ru-RU"/>
        </w:rPr>
        <w:t xml:space="preserve">. </w:t>
      </w:r>
      <w:r w:rsidR="008D7C1A" w:rsidRPr="00234CE9">
        <w:rPr>
          <w:rFonts w:ascii="Times New Roman" w:eastAsia="Times New Roman" w:hAnsi="Times New Roman" w:cs="Times New Roman"/>
          <w:sz w:val="24"/>
          <w:szCs w:val="24"/>
          <w:lang w:val="en-US" w:eastAsia="ru-RU"/>
        </w:rPr>
        <w:t xml:space="preserve">In our opinion, large-scale early de-industrialization coupled with the absence of noticeable </w:t>
      </w:r>
      <w:proofErr w:type="spellStart"/>
      <w:r w:rsidR="008D7C1A" w:rsidRPr="00234CE9">
        <w:rPr>
          <w:rFonts w:ascii="Times New Roman" w:eastAsia="Times New Roman" w:hAnsi="Times New Roman" w:cs="Times New Roman"/>
          <w:sz w:val="24"/>
          <w:szCs w:val="24"/>
          <w:lang w:val="en-US" w:eastAsia="ru-RU"/>
        </w:rPr>
        <w:t>sectoral</w:t>
      </w:r>
      <w:proofErr w:type="spellEnd"/>
      <w:r w:rsidR="008D7C1A" w:rsidRPr="00234CE9">
        <w:rPr>
          <w:rFonts w:ascii="Times New Roman" w:eastAsia="Times New Roman" w:hAnsi="Times New Roman" w:cs="Times New Roman"/>
          <w:sz w:val="24"/>
          <w:szCs w:val="24"/>
          <w:lang w:val="en-US" w:eastAsia="ru-RU"/>
        </w:rPr>
        <w:t xml:space="preserve"> structural changes </w:t>
      </w:r>
      <w:r w:rsidR="00B4551B" w:rsidRPr="00234CE9">
        <w:rPr>
          <w:rFonts w:ascii="Times New Roman" w:eastAsia="Times New Roman" w:hAnsi="Times New Roman" w:cs="Times New Roman"/>
          <w:sz w:val="24"/>
          <w:szCs w:val="24"/>
          <w:lang w:val="en-US" w:eastAsia="ru-RU"/>
        </w:rPr>
        <w:t xml:space="preserve">hinder </w:t>
      </w:r>
      <w:r>
        <w:rPr>
          <w:rFonts w:ascii="Times New Roman" w:eastAsia="Times New Roman" w:hAnsi="Times New Roman" w:cs="Times New Roman"/>
          <w:sz w:val="24"/>
          <w:szCs w:val="24"/>
          <w:lang w:val="en-US" w:eastAsia="ru-RU"/>
        </w:rPr>
        <w:t xml:space="preserve">the economy </w:t>
      </w:r>
      <w:r w:rsidR="008D7C1A" w:rsidRPr="00234CE9">
        <w:rPr>
          <w:rFonts w:ascii="Times New Roman" w:eastAsia="Times New Roman" w:hAnsi="Times New Roman" w:cs="Times New Roman"/>
          <w:sz w:val="24"/>
          <w:szCs w:val="24"/>
          <w:lang w:val="en-US" w:eastAsia="ru-RU"/>
        </w:rPr>
        <w:t xml:space="preserve">from overcoming inefficient </w:t>
      </w:r>
      <w:r w:rsidR="00551709" w:rsidRPr="00234CE9">
        <w:rPr>
          <w:rFonts w:ascii="Times New Roman" w:eastAsia="Times New Roman" w:hAnsi="Times New Roman" w:cs="Times New Roman"/>
          <w:sz w:val="24"/>
          <w:szCs w:val="24"/>
          <w:lang w:val="en-US" w:eastAsia="ru-RU"/>
        </w:rPr>
        <w:t xml:space="preserve">allocation </w:t>
      </w:r>
      <w:r w:rsidR="008D7C1A" w:rsidRPr="00234CE9">
        <w:rPr>
          <w:rFonts w:ascii="Times New Roman" w:eastAsia="Times New Roman" w:hAnsi="Times New Roman" w:cs="Times New Roman"/>
          <w:sz w:val="24"/>
          <w:szCs w:val="24"/>
          <w:lang w:val="en-US" w:eastAsia="ru-RU"/>
        </w:rPr>
        <w:t xml:space="preserve">of production factors, presence of </w:t>
      </w:r>
      <w:r w:rsidR="00551709" w:rsidRPr="00234CE9">
        <w:rPr>
          <w:rFonts w:ascii="Times New Roman" w:eastAsia="Times New Roman" w:hAnsi="Times New Roman" w:cs="Times New Roman"/>
          <w:sz w:val="24"/>
          <w:szCs w:val="24"/>
          <w:lang w:val="en-US" w:eastAsia="ru-RU"/>
        </w:rPr>
        <w:t>non-</w:t>
      </w:r>
      <w:r w:rsidR="008D7C1A" w:rsidRPr="00234CE9">
        <w:rPr>
          <w:rFonts w:ascii="Times New Roman" w:eastAsia="Times New Roman" w:hAnsi="Times New Roman" w:cs="Times New Roman"/>
          <w:sz w:val="24"/>
          <w:szCs w:val="24"/>
          <w:lang w:val="en-US" w:eastAsia="ru-RU"/>
        </w:rPr>
        <w:t>competitive markets, innovation</w:t>
      </w:r>
      <w:r>
        <w:rPr>
          <w:rFonts w:ascii="Times New Roman" w:eastAsia="Times New Roman" w:hAnsi="Times New Roman" w:cs="Times New Roman"/>
          <w:sz w:val="24"/>
          <w:szCs w:val="24"/>
          <w:lang w:val="en-US" w:eastAsia="ru-RU"/>
        </w:rPr>
        <w:t>s shortage</w:t>
      </w:r>
      <w:r w:rsidR="008D7C1A" w:rsidRPr="00234CE9">
        <w:rPr>
          <w:rFonts w:ascii="Times New Roman" w:eastAsia="Times New Roman" w:hAnsi="Times New Roman" w:cs="Times New Roman"/>
          <w:sz w:val="24"/>
          <w:szCs w:val="24"/>
          <w:lang w:val="en-US" w:eastAsia="ru-RU"/>
        </w:rPr>
        <w:t xml:space="preserve">, corruption, and strong dependence on the world commodity markets </w:t>
      </w:r>
      <w:r w:rsidR="00551709" w:rsidRPr="00234CE9">
        <w:rPr>
          <w:rFonts w:ascii="Times New Roman" w:eastAsia="Times New Roman" w:hAnsi="Times New Roman" w:cs="Times New Roman"/>
          <w:sz w:val="24"/>
          <w:szCs w:val="24"/>
          <w:lang w:val="en-US" w:eastAsia="ru-RU"/>
        </w:rPr>
        <w:sym w:font="Symbol" w:char="F05B"/>
      </w:r>
      <w:proofErr w:type="spellStart"/>
      <w:r w:rsidR="00551709" w:rsidRPr="00234CE9">
        <w:rPr>
          <w:rFonts w:ascii="Times New Roman" w:eastAsia="Times New Roman" w:hAnsi="Times New Roman" w:cs="Times New Roman"/>
          <w:sz w:val="24"/>
          <w:szCs w:val="24"/>
          <w:lang w:val="en-US" w:eastAsia="ru-RU"/>
        </w:rPr>
        <w:t>Upadhyaya</w:t>
      </w:r>
      <w:proofErr w:type="spellEnd"/>
      <w:r w:rsidR="00551709" w:rsidRPr="00234CE9">
        <w:rPr>
          <w:rFonts w:ascii="Times New Roman" w:eastAsia="Times New Roman" w:hAnsi="Times New Roman" w:cs="Times New Roman"/>
          <w:sz w:val="24"/>
          <w:szCs w:val="24"/>
          <w:lang w:val="en-US" w:eastAsia="ru-RU"/>
        </w:rPr>
        <w:t xml:space="preserve"> et al, </w:t>
      </w:r>
      <w:r w:rsidR="00A70222" w:rsidRPr="00234CE9">
        <w:rPr>
          <w:rFonts w:ascii="Times New Roman" w:eastAsia="Times New Roman" w:hAnsi="Times New Roman" w:cs="Times New Roman"/>
          <w:sz w:val="24"/>
          <w:szCs w:val="24"/>
          <w:lang w:val="en-US" w:eastAsia="ru-RU"/>
        </w:rPr>
        <w:t>2016</w:t>
      </w:r>
      <w:r w:rsidR="00551709" w:rsidRPr="00234CE9">
        <w:rPr>
          <w:rFonts w:ascii="Times New Roman" w:eastAsia="Times New Roman" w:hAnsi="Times New Roman" w:cs="Times New Roman"/>
          <w:sz w:val="24"/>
          <w:szCs w:val="24"/>
          <w:lang w:val="en-US" w:eastAsia="ru-RU"/>
        </w:rPr>
        <w:sym w:font="Symbol" w:char="F05D"/>
      </w:r>
      <w:r w:rsidR="008D7C1A" w:rsidRPr="00234CE9">
        <w:rPr>
          <w:rFonts w:ascii="Times New Roman" w:eastAsia="Times New Roman" w:hAnsi="Times New Roman" w:cs="Times New Roman"/>
          <w:sz w:val="24"/>
          <w:szCs w:val="24"/>
          <w:lang w:val="en-US" w:eastAsia="ru-RU"/>
        </w:rPr>
        <w:t>.</w:t>
      </w:r>
    </w:p>
    <w:p w:rsidR="00A70222" w:rsidRPr="005D52AE" w:rsidRDefault="005D52AE" w:rsidP="00EE3587">
      <w:pPr>
        <w:spacing w:after="0" w:line="360" w:lineRule="auto"/>
        <w:ind w:lef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FF467F">
        <w:rPr>
          <w:rFonts w:ascii="Times New Roman" w:eastAsia="Times New Roman" w:hAnsi="Times New Roman" w:cs="Times New Roman"/>
          <w:sz w:val="24"/>
          <w:szCs w:val="24"/>
          <w:lang w:val="en-US" w:eastAsia="ru-RU"/>
        </w:rPr>
        <w:t>espite the services became a</w:t>
      </w:r>
      <w:r w:rsidR="00FF467F" w:rsidRPr="005D52AE">
        <w:rPr>
          <w:rFonts w:ascii="Times New Roman" w:eastAsia="Times New Roman" w:hAnsi="Times New Roman" w:cs="Times New Roman"/>
          <w:sz w:val="24"/>
          <w:szCs w:val="24"/>
          <w:lang w:val="en-US" w:eastAsia="ru-RU"/>
        </w:rPr>
        <w:t xml:space="preserve"> dominant sector </w:t>
      </w:r>
      <w:r w:rsidR="00FF467F">
        <w:rPr>
          <w:rFonts w:ascii="Times New Roman" w:eastAsia="Times New Roman" w:hAnsi="Times New Roman" w:cs="Times New Roman"/>
          <w:sz w:val="24"/>
          <w:szCs w:val="24"/>
          <w:lang w:val="en-US" w:eastAsia="ru-RU"/>
        </w:rPr>
        <w:t>of</w:t>
      </w:r>
      <w:r w:rsidR="00FF467F" w:rsidRPr="005D52AE">
        <w:rPr>
          <w:rFonts w:ascii="Times New Roman" w:eastAsia="Times New Roman" w:hAnsi="Times New Roman" w:cs="Times New Roman"/>
          <w:sz w:val="24"/>
          <w:szCs w:val="24"/>
          <w:lang w:val="en-US" w:eastAsia="ru-RU"/>
        </w:rPr>
        <w:t xml:space="preserve"> the</w:t>
      </w:r>
      <w:r w:rsidR="00FF467F">
        <w:rPr>
          <w:rFonts w:ascii="Times New Roman" w:eastAsia="Times New Roman" w:hAnsi="Times New Roman" w:cs="Times New Roman"/>
          <w:sz w:val="24"/>
          <w:szCs w:val="24"/>
          <w:lang w:val="en-US" w:eastAsia="ru-RU"/>
        </w:rPr>
        <w:t xml:space="preserve"> Russian </w:t>
      </w:r>
      <w:r w:rsidR="00FF467F" w:rsidRPr="005D52AE">
        <w:rPr>
          <w:rFonts w:ascii="Times New Roman" w:eastAsia="Times New Roman" w:hAnsi="Times New Roman" w:cs="Times New Roman"/>
          <w:sz w:val="24"/>
          <w:szCs w:val="24"/>
          <w:lang w:val="en-US" w:eastAsia="ru-RU"/>
        </w:rPr>
        <w:t>economy</w:t>
      </w:r>
      <w:r w:rsidR="00FF467F">
        <w:rPr>
          <w:rFonts w:ascii="Times New Roman" w:eastAsia="Times New Roman" w:hAnsi="Times New Roman" w:cs="Times New Roman"/>
          <w:sz w:val="24"/>
          <w:szCs w:val="24"/>
          <w:lang w:val="en-US" w:eastAsia="ru-RU"/>
        </w:rPr>
        <w:t xml:space="preserve">, </w:t>
      </w:r>
      <w:r w:rsidRPr="005D52AE">
        <w:rPr>
          <w:rFonts w:ascii="Times New Roman" w:eastAsia="Times New Roman" w:hAnsi="Times New Roman" w:cs="Times New Roman"/>
          <w:sz w:val="24"/>
          <w:szCs w:val="24"/>
          <w:lang w:val="en-US" w:eastAsia="ru-RU"/>
        </w:rPr>
        <w:t xml:space="preserve">there was a lack of the </w:t>
      </w:r>
      <w:r w:rsidR="00FF467F">
        <w:rPr>
          <w:rFonts w:ascii="Times New Roman" w:eastAsia="Times New Roman" w:hAnsi="Times New Roman" w:cs="Times New Roman"/>
          <w:sz w:val="24"/>
          <w:szCs w:val="24"/>
          <w:lang w:val="en-US" w:eastAsia="ru-RU"/>
        </w:rPr>
        <w:t xml:space="preserve">essential </w:t>
      </w:r>
      <w:r w:rsidRPr="005D52AE">
        <w:rPr>
          <w:rFonts w:ascii="Times New Roman" w:eastAsia="Times New Roman" w:hAnsi="Times New Roman" w:cs="Times New Roman"/>
          <w:sz w:val="24"/>
          <w:szCs w:val="24"/>
          <w:lang w:val="en-US" w:eastAsia="ru-RU"/>
        </w:rPr>
        <w:t xml:space="preserve">statistical information on </w:t>
      </w:r>
      <w:r w:rsidR="00FF467F">
        <w:rPr>
          <w:rFonts w:ascii="Times New Roman" w:eastAsia="Times New Roman" w:hAnsi="Times New Roman" w:cs="Times New Roman"/>
          <w:sz w:val="24"/>
          <w:szCs w:val="24"/>
          <w:lang w:val="en-US" w:eastAsia="ru-RU"/>
        </w:rPr>
        <w:t>its</w:t>
      </w:r>
      <w:r w:rsidR="00B455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development</w:t>
      </w:r>
      <w:r w:rsidRPr="005D52AE">
        <w:rPr>
          <w:rFonts w:ascii="Times New Roman" w:eastAsia="Times New Roman" w:hAnsi="Times New Roman" w:cs="Times New Roman"/>
          <w:sz w:val="24"/>
          <w:szCs w:val="24"/>
          <w:lang w:val="en-US" w:eastAsia="ru-RU"/>
        </w:rPr>
        <w:t>, including early response indicators</w:t>
      </w:r>
      <w:r w:rsidR="00B4551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5D52AE">
        <w:rPr>
          <w:rFonts w:ascii="Times New Roman" w:eastAsia="Times New Roman" w:hAnsi="Times New Roman" w:cs="Times New Roman"/>
          <w:sz w:val="24"/>
          <w:szCs w:val="24"/>
          <w:lang w:val="en-US" w:eastAsia="ru-RU"/>
        </w:rPr>
        <w:t>performance indicators</w:t>
      </w:r>
      <w:r>
        <w:rPr>
          <w:rFonts w:ascii="Times New Roman" w:eastAsia="Times New Roman" w:hAnsi="Times New Roman" w:cs="Times New Roman"/>
          <w:sz w:val="24"/>
          <w:szCs w:val="24"/>
          <w:lang w:val="en-US" w:eastAsia="ru-RU"/>
        </w:rPr>
        <w:t xml:space="preserve">, </w:t>
      </w:r>
      <w:r w:rsidR="00B4551B">
        <w:rPr>
          <w:rFonts w:ascii="Times New Roman" w:eastAsia="Times New Roman" w:hAnsi="Times New Roman" w:cs="Times New Roman"/>
          <w:sz w:val="24"/>
          <w:szCs w:val="24"/>
          <w:lang w:val="en-US" w:eastAsia="ru-RU"/>
        </w:rPr>
        <w:t xml:space="preserve">and </w:t>
      </w:r>
      <w:r>
        <w:rPr>
          <w:rFonts w:ascii="Times New Roman" w:eastAsia="Times New Roman" w:hAnsi="Times New Roman" w:cs="Times New Roman"/>
          <w:sz w:val="24"/>
          <w:szCs w:val="24"/>
          <w:lang w:val="en-US" w:eastAsia="ru-RU"/>
        </w:rPr>
        <w:t>information on sectoral limitations</w:t>
      </w:r>
      <w:r w:rsidR="00B4551B">
        <w:rPr>
          <w:rFonts w:ascii="Times New Roman" w:eastAsia="Times New Roman" w:hAnsi="Times New Roman" w:cs="Times New Roman"/>
          <w:sz w:val="24"/>
          <w:szCs w:val="24"/>
          <w:lang w:val="en-US" w:eastAsia="ru-RU"/>
        </w:rPr>
        <w:t>. Additionally, t</w:t>
      </w:r>
      <w:r w:rsidR="001F0959" w:rsidRPr="001F0959">
        <w:rPr>
          <w:rFonts w:ascii="Times New Roman" w:eastAsia="Times New Roman" w:hAnsi="Times New Roman" w:cs="Times New Roman"/>
          <w:sz w:val="24"/>
          <w:szCs w:val="24"/>
          <w:lang w:val="en-US" w:eastAsia="ru-RU"/>
        </w:rPr>
        <w:t xml:space="preserve">raditional </w:t>
      </w:r>
      <w:r w:rsidR="00B4551B">
        <w:rPr>
          <w:rFonts w:ascii="Times New Roman" w:eastAsia="Times New Roman" w:hAnsi="Times New Roman" w:cs="Times New Roman"/>
          <w:sz w:val="24"/>
          <w:szCs w:val="24"/>
          <w:lang w:val="en-US" w:eastAsia="ru-RU"/>
        </w:rPr>
        <w:t xml:space="preserve">hard </w:t>
      </w:r>
      <w:r w:rsidR="001F0959" w:rsidRPr="001F0959">
        <w:rPr>
          <w:rFonts w:ascii="Times New Roman" w:eastAsia="Times New Roman" w:hAnsi="Times New Roman" w:cs="Times New Roman"/>
          <w:sz w:val="24"/>
          <w:szCs w:val="24"/>
          <w:lang w:val="en-US" w:eastAsia="ru-RU"/>
        </w:rPr>
        <w:t>statistic</w:t>
      </w:r>
      <w:r w:rsidR="001F0959">
        <w:rPr>
          <w:rFonts w:ascii="Times New Roman" w:eastAsia="Times New Roman" w:hAnsi="Times New Roman" w:cs="Times New Roman"/>
          <w:sz w:val="24"/>
          <w:szCs w:val="24"/>
          <w:lang w:val="en-US" w:eastAsia="ru-RU"/>
        </w:rPr>
        <w:t>s</w:t>
      </w:r>
      <w:r w:rsidR="00B4551B">
        <w:rPr>
          <w:rFonts w:ascii="Times New Roman" w:eastAsia="Times New Roman" w:hAnsi="Times New Roman" w:cs="Times New Roman"/>
          <w:sz w:val="24"/>
          <w:szCs w:val="24"/>
          <w:lang w:val="en-US" w:eastAsia="ru-RU"/>
        </w:rPr>
        <w:t xml:space="preserve"> often revised</w:t>
      </w:r>
      <w:r w:rsidR="001F0959" w:rsidRPr="001F0959">
        <w:rPr>
          <w:rFonts w:ascii="Times New Roman" w:eastAsia="Times New Roman" w:hAnsi="Times New Roman" w:cs="Times New Roman"/>
          <w:sz w:val="24"/>
          <w:szCs w:val="24"/>
          <w:lang w:val="en-US" w:eastAsia="ru-RU"/>
        </w:rPr>
        <w:t xml:space="preserve">, especially </w:t>
      </w:r>
      <w:r w:rsidR="001F0959">
        <w:rPr>
          <w:rFonts w:ascii="Times New Roman" w:eastAsia="Times New Roman" w:hAnsi="Times New Roman" w:cs="Times New Roman"/>
          <w:sz w:val="24"/>
          <w:szCs w:val="24"/>
          <w:lang w:val="en-US" w:eastAsia="ru-RU"/>
        </w:rPr>
        <w:t xml:space="preserve">when the national </w:t>
      </w:r>
      <w:r w:rsidR="001F0959" w:rsidRPr="001F0959">
        <w:rPr>
          <w:rFonts w:ascii="Times New Roman" w:eastAsia="Times New Roman" w:hAnsi="Times New Roman" w:cs="Times New Roman"/>
          <w:sz w:val="24"/>
          <w:szCs w:val="24"/>
          <w:lang w:val="en-US" w:eastAsia="ru-RU"/>
        </w:rPr>
        <w:t>economic classifications</w:t>
      </w:r>
      <w:r w:rsidR="001F0959">
        <w:rPr>
          <w:rFonts w:ascii="Times New Roman" w:eastAsia="Times New Roman" w:hAnsi="Times New Roman" w:cs="Times New Roman"/>
          <w:sz w:val="24"/>
          <w:szCs w:val="24"/>
          <w:lang w:val="en-US" w:eastAsia="ru-RU"/>
        </w:rPr>
        <w:t xml:space="preserve"> were changed.</w:t>
      </w:r>
    </w:p>
    <w:p w:rsidR="001A5439" w:rsidRDefault="00FF467F" w:rsidP="00FF467F">
      <w:pPr>
        <w:spacing w:after="0" w:line="360" w:lineRule="auto"/>
        <w:ind w:left="142" w:firstLine="709"/>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eastAsia="ru-RU"/>
        </w:rPr>
        <w:t>T</w:t>
      </w:r>
      <w:r w:rsidR="001F0959" w:rsidRPr="001F0959">
        <w:rPr>
          <w:rFonts w:ascii="Times New Roman" w:eastAsia="Times New Roman" w:hAnsi="Times New Roman" w:cs="Times New Roman"/>
          <w:sz w:val="24"/>
          <w:szCs w:val="24"/>
          <w:lang w:val="en-US" w:eastAsia="ru-RU"/>
        </w:rPr>
        <w:t xml:space="preserve">he </w:t>
      </w:r>
      <w:r w:rsidR="001F0959">
        <w:rPr>
          <w:rFonts w:ascii="Times New Roman" w:eastAsia="Times New Roman" w:hAnsi="Times New Roman" w:cs="Times New Roman"/>
          <w:sz w:val="24"/>
          <w:szCs w:val="24"/>
          <w:lang w:val="en-US" w:eastAsia="ru-RU"/>
        </w:rPr>
        <w:t xml:space="preserve">current </w:t>
      </w:r>
      <w:r w:rsidR="001F0959" w:rsidRPr="001F0959">
        <w:rPr>
          <w:rFonts w:ascii="Times New Roman" w:eastAsia="Times New Roman" w:hAnsi="Times New Roman" w:cs="Times New Roman"/>
          <w:sz w:val="24"/>
          <w:szCs w:val="24"/>
          <w:lang w:val="en-US" w:eastAsia="ru-RU"/>
        </w:rPr>
        <w:t xml:space="preserve">official economic dynamics </w:t>
      </w:r>
      <w:r w:rsidR="00CD4FEC">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001F0959" w:rsidRPr="001F0959">
        <w:rPr>
          <w:rFonts w:ascii="Times New Roman" w:eastAsia="Times New Roman" w:hAnsi="Times New Roman" w:cs="Times New Roman"/>
          <w:sz w:val="24"/>
          <w:szCs w:val="24"/>
          <w:lang w:val="en-US" w:eastAsia="ru-RU"/>
        </w:rPr>
        <w:t xml:space="preserve">not sufficient for </w:t>
      </w:r>
      <w:r w:rsidR="001F0959">
        <w:rPr>
          <w:rFonts w:ascii="Times New Roman" w:eastAsia="Times New Roman" w:hAnsi="Times New Roman" w:cs="Times New Roman"/>
          <w:sz w:val="24"/>
          <w:szCs w:val="24"/>
          <w:lang w:val="en-US" w:eastAsia="ru-RU"/>
        </w:rPr>
        <w:t xml:space="preserve">a </w:t>
      </w:r>
      <w:r w:rsidR="001F0959" w:rsidRPr="001F0959">
        <w:rPr>
          <w:rFonts w:ascii="Times New Roman" w:eastAsia="Times New Roman" w:hAnsi="Times New Roman" w:cs="Times New Roman"/>
          <w:sz w:val="24"/>
          <w:szCs w:val="24"/>
          <w:lang w:val="en-US" w:eastAsia="ru-RU"/>
        </w:rPr>
        <w:t xml:space="preserve">cyclical analysis and </w:t>
      </w:r>
      <w:r w:rsidR="00B4551B" w:rsidRPr="001F0959">
        <w:rPr>
          <w:rFonts w:ascii="Times New Roman" w:eastAsia="Times New Roman" w:hAnsi="Times New Roman" w:cs="Times New Roman"/>
          <w:sz w:val="24"/>
          <w:szCs w:val="24"/>
          <w:lang w:val="en-US" w:eastAsia="ru-RU"/>
        </w:rPr>
        <w:t xml:space="preserve">short-term </w:t>
      </w:r>
      <w:r w:rsidR="001F0959" w:rsidRPr="001F0959">
        <w:rPr>
          <w:rFonts w:ascii="Times New Roman" w:eastAsia="Times New Roman" w:hAnsi="Times New Roman" w:cs="Times New Roman"/>
          <w:sz w:val="24"/>
          <w:szCs w:val="24"/>
          <w:lang w:val="en-US" w:eastAsia="ru-RU"/>
        </w:rPr>
        <w:t>forecasting</w:t>
      </w:r>
      <w:r w:rsidR="001F0959">
        <w:rPr>
          <w:rFonts w:ascii="Times New Roman" w:eastAsia="Times New Roman" w:hAnsi="Times New Roman" w:cs="Times New Roman"/>
          <w:sz w:val="24"/>
          <w:szCs w:val="24"/>
          <w:lang w:val="en-US" w:eastAsia="ru-RU"/>
        </w:rPr>
        <w:t>;</w:t>
      </w:r>
      <w:r w:rsidR="001F0959" w:rsidRPr="001F0959">
        <w:rPr>
          <w:rFonts w:ascii="Times New Roman" w:eastAsia="Times New Roman" w:hAnsi="Times New Roman" w:cs="Times New Roman"/>
          <w:sz w:val="24"/>
          <w:szCs w:val="24"/>
          <w:lang w:val="en-US" w:eastAsia="ru-RU"/>
        </w:rPr>
        <w:t xml:space="preserve"> it became especially clear</w:t>
      </w:r>
      <w:r w:rsidR="001F0959">
        <w:rPr>
          <w:rFonts w:ascii="Times New Roman" w:eastAsia="Times New Roman" w:hAnsi="Times New Roman" w:cs="Times New Roman"/>
          <w:sz w:val="24"/>
          <w:szCs w:val="24"/>
          <w:lang w:val="en-US" w:eastAsia="ru-RU"/>
        </w:rPr>
        <w:t xml:space="preserve"> </w:t>
      </w:r>
      <w:r w:rsidR="001F0959" w:rsidRPr="001F0959">
        <w:rPr>
          <w:rFonts w:ascii="Times New Roman" w:eastAsia="Times New Roman" w:hAnsi="Times New Roman" w:cs="Times New Roman"/>
          <w:sz w:val="24"/>
          <w:szCs w:val="24"/>
          <w:lang w:val="en-US" w:eastAsia="ru-RU"/>
        </w:rPr>
        <w:t xml:space="preserve">during the deep recession of 2008-2009. The limited availability of reliable information on economic sentiment </w:t>
      </w:r>
      <w:r w:rsidR="00761A41">
        <w:rPr>
          <w:rFonts w:ascii="Times New Roman" w:eastAsia="Times New Roman" w:hAnsi="Times New Roman" w:cs="Times New Roman"/>
          <w:sz w:val="24"/>
          <w:szCs w:val="24"/>
          <w:lang w:val="en-US" w:eastAsia="ru-RU"/>
        </w:rPr>
        <w:t>to</w:t>
      </w:r>
      <w:r w:rsidR="001F0959" w:rsidRPr="001F0959">
        <w:rPr>
          <w:rFonts w:ascii="Times New Roman" w:eastAsia="Times New Roman" w:hAnsi="Times New Roman" w:cs="Times New Roman"/>
          <w:sz w:val="24"/>
          <w:szCs w:val="24"/>
          <w:lang w:val="en-US" w:eastAsia="ru-RU"/>
        </w:rPr>
        <w:t xml:space="preserve"> measur</w:t>
      </w:r>
      <w:r w:rsidR="00761A41">
        <w:rPr>
          <w:rFonts w:ascii="Times New Roman" w:eastAsia="Times New Roman" w:hAnsi="Times New Roman" w:cs="Times New Roman"/>
          <w:sz w:val="24"/>
          <w:szCs w:val="24"/>
          <w:lang w:val="en-US" w:eastAsia="ru-RU"/>
        </w:rPr>
        <w:t>e</w:t>
      </w:r>
      <w:r w:rsidR="001F0959" w:rsidRPr="001F0959">
        <w:rPr>
          <w:rFonts w:ascii="Times New Roman" w:eastAsia="Times New Roman" w:hAnsi="Times New Roman" w:cs="Times New Roman"/>
          <w:sz w:val="24"/>
          <w:szCs w:val="24"/>
          <w:lang w:val="en-US" w:eastAsia="ru-RU"/>
        </w:rPr>
        <w:t xml:space="preserve"> recessionary events was </w:t>
      </w:r>
      <w:r w:rsidR="00B4551B" w:rsidRPr="00B4551B">
        <w:rPr>
          <w:rFonts w:ascii="Times New Roman" w:eastAsia="Times New Roman" w:hAnsi="Times New Roman" w:cs="Times New Roman"/>
          <w:sz w:val="24"/>
          <w:szCs w:val="24"/>
          <w:lang w:val="en-US" w:eastAsia="ru-RU"/>
        </w:rPr>
        <w:t xml:space="preserve">a strong incentive </w:t>
      </w:r>
      <w:r w:rsidR="001A5439">
        <w:rPr>
          <w:rFonts w:ascii="Times New Roman" w:eastAsia="Times New Roman" w:hAnsi="Times New Roman" w:cs="Times New Roman"/>
          <w:sz w:val="24"/>
          <w:szCs w:val="24"/>
          <w:lang w:val="en-US" w:eastAsia="ru-RU"/>
        </w:rPr>
        <w:t>to</w:t>
      </w:r>
      <w:r w:rsidR="00B4551B" w:rsidRPr="00B455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start </w:t>
      </w:r>
      <w:r w:rsidR="005D67D7">
        <w:rPr>
          <w:rFonts w:ascii="Times New Roman" w:eastAsia="Times New Roman" w:hAnsi="Times New Roman" w:cs="Times New Roman"/>
          <w:sz w:val="24"/>
          <w:szCs w:val="24"/>
          <w:lang w:val="en-US" w:eastAsia="ru-RU"/>
        </w:rPr>
        <w:t>conduct</w:t>
      </w:r>
      <w:r>
        <w:rPr>
          <w:rFonts w:ascii="Times New Roman" w:eastAsia="Times New Roman" w:hAnsi="Times New Roman" w:cs="Times New Roman"/>
          <w:sz w:val="24"/>
          <w:szCs w:val="24"/>
          <w:lang w:val="en-US" w:eastAsia="ru-RU"/>
        </w:rPr>
        <w:t>ing</w:t>
      </w:r>
      <w:r w:rsidR="00761A41">
        <w:rPr>
          <w:rFonts w:ascii="Times New Roman" w:eastAsia="Times New Roman" w:hAnsi="Times New Roman" w:cs="Times New Roman"/>
          <w:sz w:val="24"/>
          <w:szCs w:val="24"/>
          <w:lang w:val="en-US" w:eastAsia="ru-RU"/>
        </w:rPr>
        <w:t xml:space="preserve"> business tendency </w:t>
      </w:r>
      <w:r w:rsidR="001F0959" w:rsidRPr="001F0959">
        <w:rPr>
          <w:rFonts w:ascii="Times New Roman" w:eastAsia="Times New Roman" w:hAnsi="Times New Roman" w:cs="Times New Roman"/>
          <w:sz w:val="24"/>
          <w:szCs w:val="24"/>
          <w:lang w:val="en-US" w:eastAsia="ru-RU"/>
        </w:rPr>
        <w:t xml:space="preserve">surveys </w:t>
      </w:r>
      <w:r w:rsidR="00B4551B">
        <w:rPr>
          <w:rFonts w:ascii="Times New Roman" w:eastAsia="Times New Roman" w:hAnsi="Times New Roman" w:cs="Times New Roman"/>
          <w:sz w:val="24"/>
          <w:szCs w:val="24"/>
          <w:lang w:val="en-US" w:eastAsia="ru-RU"/>
        </w:rPr>
        <w:t xml:space="preserve">(BTS) </w:t>
      </w:r>
      <w:r w:rsidR="00761A41">
        <w:rPr>
          <w:rFonts w:ascii="Times New Roman" w:eastAsia="Times New Roman" w:hAnsi="Times New Roman" w:cs="Times New Roman"/>
          <w:sz w:val="24"/>
          <w:szCs w:val="24"/>
          <w:lang w:val="en-US" w:eastAsia="ru-RU"/>
        </w:rPr>
        <w:t>of</w:t>
      </w:r>
      <w:r w:rsidR="001F0959" w:rsidRPr="001F0959">
        <w:rPr>
          <w:rFonts w:ascii="Times New Roman" w:eastAsia="Times New Roman" w:hAnsi="Times New Roman" w:cs="Times New Roman"/>
          <w:sz w:val="24"/>
          <w:szCs w:val="24"/>
          <w:lang w:val="en-US" w:eastAsia="ru-RU"/>
        </w:rPr>
        <w:t xml:space="preserve"> services</w:t>
      </w:r>
      <w:r w:rsidR="00761A41">
        <w:rPr>
          <w:rFonts w:ascii="Times New Roman" w:eastAsia="Times New Roman" w:hAnsi="Times New Roman" w:cs="Times New Roman"/>
          <w:sz w:val="24"/>
          <w:szCs w:val="24"/>
          <w:lang w:val="en-US" w:eastAsia="ru-RU"/>
        </w:rPr>
        <w:t xml:space="preserve">, </w:t>
      </w:r>
      <w:r w:rsidR="001A5439" w:rsidRPr="001A5439">
        <w:rPr>
          <w:rFonts w:ascii="Times New Roman" w:eastAsia="Times New Roman" w:hAnsi="Times New Roman" w:cs="Times New Roman"/>
          <w:sz w:val="24"/>
          <w:szCs w:val="24"/>
          <w:lang w:val="en-US" w:eastAsia="ru-RU"/>
        </w:rPr>
        <w:t>both to analy</w:t>
      </w:r>
      <w:r w:rsidR="00D430B3">
        <w:rPr>
          <w:rFonts w:ascii="Times New Roman" w:eastAsia="Times New Roman" w:hAnsi="Times New Roman" w:cs="Times New Roman"/>
          <w:sz w:val="24"/>
          <w:szCs w:val="24"/>
          <w:lang w:val="en-US" w:eastAsia="ru-RU"/>
        </w:rPr>
        <w:t>z</w:t>
      </w:r>
      <w:r w:rsidR="001A5439" w:rsidRPr="001A5439">
        <w:rPr>
          <w:rFonts w:ascii="Times New Roman" w:eastAsia="Times New Roman" w:hAnsi="Times New Roman" w:cs="Times New Roman"/>
          <w:sz w:val="24"/>
          <w:szCs w:val="24"/>
          <w:lang w:val="en-US" w:eastAsia="ru-RU"/>
        </w:rPr>
        <w:t>e the sector development and to construct an integrated indicator able to evaluate the overall economic dynamics.</w:t>
      </w:r>
      <w:r>
        <w:rPr>
          <w:rFonts w:ascii="Times New Roman" w:eastAsia="Times New Roman" w:hAnsi="Times New Roman" w:cs="Times New Roman"/>
          <w:sz w:val="24"/>
          <w:szCs w:val="24"/>
          <w:lang w:val="en-US" w:eastAsia="ru-RU"/>
        </w:rPr>
        <w:t xml:space="preserve"> </w:t>
      </w:r>
      <w:r w:rsidR="009907A0" w:rsidRPr="009907A0">
        <w:rPr>
          <w:rFonts w:ascii="Times New Roman" w:hAnsi="Times New Roman" w:cs="Times New Roman"/>
          <w:color w:val="000000"/>
          <w:sz w:val="24"/>
          <w:szCs w:val="24"/>
          <w:lang w:val="en-US"/>
        </w:rPr>
        <w:t xml:space="preserve">The </w:t>
      </w:r>
      <w:r w:rsidR="0010461E">
        <w:rPr>
          <w:rFonts w:ascii="Times New Roman" w:hAnsi="Times New Roman" w:cs="Times New Roman"/>
          <w:color w:val="000000"/>
          <w:sz w:val="24"/>
          <w:szCs w:val="24"/>
          <w:lang w:val="en-US"/>
        </w:rPr>
        <w:t xml:space="preserve">pilot </w:t>
      </w:r>
      <w:r w:rsidR="00303ACF" w:rsidRPr="00303ACF">
        <w:rPr>
          <w:rFonts w:ascii="Times New Roman" w:hAnsi="Times New Roman" w:cs="Times New Roman"/>
          <w:color w:val="000000"/>
          <w:sz w:val="24"/>
          <w:szCs w:val="24"/>
          <w:lang w:val="en-US"/>
        </w:rPr>
        <w:t xml:space="preserve">survey </w:t>
      </w:r>
      <w:proofErr w:type="gramStart"/>
      <w:r>
        <w:rPr>
          <w:rFonts w:ascii="Times New Roman" w:hAnsi="Times New Roman" w:cs="Times New Roman"/>
          <w:color w:val="000000"/>
          <w:sz w:val="24"/>
          <w:szCs w:val="24"/>
          <w:lang w:val="en-US"/>
        </w:rPr>
        <w:t xml:space="preserve">was </w:t>
      </w:r>
      <w:r w:rsidR="0010461E">
        <w:rPr>
          <w:rFonts w:ascii="Times New Roman" w:hAnsi="Times New Roman" w:cs="Times New Roman"/>
          <w:color w:val="000000"/>
          <w:sz w:val="24"/>
          <w:szCs w:val="24"/>
          <w:lang w:val="en-US"/>
        </w:rPr>
        <w:t>carried out in 2009-2010</w:t>
      </w:r>
      <w:r w:rsidR="00CD4FEC">
        <w:rPr>
          <w:rFonts w:ascii="Times New Roman" w:hAnsi="Times New Roman" w:cs="Times New Roman"/>
          <w:color w:val="000000"/>
          <w:sz w:val="24"/>
          <w:szCs w:val="24"/>
          <w:lang w:val="en-US"/>
        </w:rPr>
        <w:t>,</w:t>
      </w:r>
      <w:r w:rsidR="0010461E">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 xml:space="preserve">then </w:t>
      </w:r>
      <w:r w:rsidR="009907A0" w:rsidRPr="009907A0">
        <w:rPr>
          <w:rFonts w:ascii="Times New Roman" w:hAnsi="Times New Roman" w:cs="Times New Roman"/>
          <w:color w:val="000000"/>
          <w:sz w:val="24"/>
          <w:szCs w:val="24"/>
          <w:lang w:val="en-US"/>
        </w:rPr>
        <w:t xml:space="preserve">included in the </w:t>
      </w:r>
      <w:r w:rsidR="0010461E">
        <w:rPr>
          <w:rFonts w:ascii="Times New Roman" w:hAnsi="Times New Roman" w:cs="Times New Roman"/>
          <w:color w:val="000000"/>
          <w:sz w:val="24"/>
          <w:szCs w:val="24"/>
          <w:lang w:val="en-US"/>
        </w:rPr>
        <w:t xml:space="preserve">Russian </w:t>
      </w:r>
      <w:r w:rsidR="009907A0">
        <w:rPr>
          <w:rFonts w:ascii="Times New Roman" w:hAnsi="Times New Roman" w:cs="Times New Roman"/>
          <w:color w:val="000000"/>
          <w:sz w:val="24"/>
          <w:szCs w:val="24"/>
          <w:lang w:val="en-US"/>
        </w:rPr>
        <w:t>P</w:t>
      </w:r>
      <w:r w:rsidR="009907A0" w:rsidRPr="009907A0">
        <w:rPr>
          <w:rFonts w:ascii="Times New Roman" w:hAnsi="Times New Roman" w:cs="Times New Roman"/>
          <w:color w:val="000000"/>
          <w:sz w:val="24"/>
          <w:szCs w:val="24"/>
          <w:lang w:val="en-US"/>
        </w:rPr>
        <w:t xml:space="preserve">rogram </w:t>
      </w:r>
      <w:r w:rsidR="0010461E" w:rsidRPr="0010461E">
        <w:rPr>
          <w:rFonts w:ascii="Times New Roman" w:hAnsi="Times New Roman" w:cs="Times New Roman"/>
          <w:color w:val="000000"/>
          <w:sz w:val="24"/>
          <w:szCs w:val="24"/>
          <w:lang w:val="en-US"/>
        </w:rPr>
        <w:t>of business tendency surveys (BTS)</w:t>
      </w:r>
      <w:r w:rsidR="0010461E" w:rsidRPr="003F6CA2">
        <w:rPr>
          <w:rFonts w:ascii="Times New Roman" w:hAnsi="Times New Roman" w:cs="Times New Roman"/>
          <w:color w:val="000000"/>
          <w:sz w:val="24"/>
          <w:szCs w:val="24"/>
          <w:vertAlign w:val="superscript"/>
          <w:lang w:val="en-US"/>
        </w:rPr>
        <w:footnoteReference w:id="2"/>
      </w:r>
      <w:r w:rsidR="0010461E">
        <w:rPr>
          <w:rFonts w:ascii="Times New Roman" w:hAnsi="Times New Roman" w:cs="Times New Roman"/>
          <w:color w:val="000000"/>
          <w:sz w:val="24"/>
          <w:szCs w:val="24"/>
          <w:lang w:val="en-US"/>
        </w:rPr>
        <w:t xml:space="preserve"> i</w:t>
      </w:r>
      <w:r w:rsidR="009907A0" w:rsidRPr="009907A0">
        <w:rPr>
          <w:rFonts w:ascii="Times New Roman" w:hAnsi="Times New Roman" w:cs="Times New Roman"/>
          <w:color w:val="000000"/>
          <w:sz w:val="24"/>
          <w:szCs w:val="24"/>
          <w:lang w:val="en-US"/>
        </w:rPr>
        <w:t>n 2012</w:t>
      </w:r>
      <w:proofErr w:type="gramEnd"/>
      <w:r w:rsidR="009907A0">
        <w:rPr>
          <w:rFonts w:ascii="Times New Roman" w:hAnsi="Times New Roman" w:cs="Times New Roman"/>
          <w:color w:val="000000"/>
          <w:sz w:val="24"/>
          <w:szCs w:val="24"/>
          <w:lang w:val="en-US"/>
        </w:rPr>
        <w:t>.</w:t>
      </w:r>
    </w:p>
    <w:p w:rsidR="005D67D7" w:rsidRDefault="00924505" w:rsidP="0010461E">
      <w:pPr>
        <w:spacing w:after="0" w:line="360" w:lineRule="auto"/>
        <w:ind w:firstLine="680"/>
        <w:jc w:val="both"/>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The </w:t>
      </w:r>
      <w:proofErr w:type="gramStart"/>
      <w:r>
        <w:rPr>
          <w:rFonts w:ascii="Times New Roman" w:hAnsi="Times New Roman" w:cs="Times New Roman"/>
          <w:color w:val="000000"/>
          <w:sz w:val="24"/>
          <w:szCs w:val="24"/>
          <w:lang w:val="en-US"/>
        </w:rPr>
        <w:t>survey</w:t>
      </w:r>
      <w:r w:rsidR="0010461E">
        <w:rPr>
          <w:rFonts w:ascii="Times New Roman" w:hAnsi="Times New Roman" w:cs="Times New Roman"/>
          <w:color w:val="000000"/>
          <w:sz w:val="24"/>
          <w:szCs w:val="24"/>
          <w:lang w:val="en-US"/>
        </w:rPr>
        <w:t xml:space="preserve"> is</w:t>
      </w:r>
      <w:r w:rsidR="001A5439" w:rsidRPr="003F6CA2">
        <w:rPr>
          <w:rFonts w:ascii="Times New Roman" w:hAnsi="Times New Roman" w:cs="Times New Roman"/>
          <w:color w:val="000000"/>
          <w:sz w:val="24"/>
          <w:szCs w:val="24"/>
          <w:lang w:val="en-US"/>
        </w:rPr>
        <w:t xml:space="preserve"> conducted by </w:t>
      </w:r>
      <w:r w:rsidR="001A5439">
        <w:rPr>
          <w:rFonts w:ascii="Times New Roman" w:hAnsi="Times New Roman" w:cs="Times New Roman"/>
          <w:color w:val="000000"/>
          <w:sz w:val="24"/>
          <w:szCs w:val="24"/>
          <w:lang w:val="en-US"/>
        </w:rPr>
        <w:t xml:space="preserve">the </w:t>
      </w:r>
      <w:r w:rsidR="001A5439" w:rsidRPr="003F6CA2">
        <w:rPr>
          <w:rFonts w:ascii="Times New Roman" w:hAnsi="Times New Roman" w:cs="Times New Roman"/>
          <w:color w:val="000000"/>
          <w:sz w:val="24"/>
          <w:szCs w:val="24"/>
          <w:lang w:val="en-US"/>
        </w:rPr>
        <w:t>Higher School of Economics</w:t>
      </w:r>
      <w:r w:rsidR="001A5439">
        <w:rPr>
          <w:rFonts w:ascii="Times New Roman" w:hAnsi="Times New Roman" w:cs="Times New Roman"/>
          <w:color w:val="000000"/>
          <w:sz w:val="24"/>
          <w:szCs w:val="24"/>
          <w:lang w:val="en-US"/>
        </w:rPr>
        <w:t xml:space="preserve"> (HSE</w:t>
      </w:r>
      <w:r w:rsidR="001A5439" w:rsidRPr="003F6CA2">
        <w:rPr>
          <w:rFonts w:ascii="Times New Roman" w:hAnsi="Times New Roman" w:cs="Times New Roman"/>
          <w:color w:val="000000"/>
          <w:sz w:val="24"/>
          <w:szCs w:val="24"/>
          <w:lang w:val="en-US"/>
        </w:rPr>
        <w:t xml:space="preserve">) in collaboration with </w:t>
      </w:r>
      <w:r w:rsidR="001A5439">
        <w:rPr>
          <w:rFonts w:ascii="Times New Roman" w:hAnsi="Times New Roman" w:cs="Times New Roman"/>
          <w:color w:val="000000"/>
          <w:sz w:val="24"/>
          <w:szCs w:val="24"/>
          <w:lang w:val="en-US"/>
        </w:rPr>
        <w:t>the Federal State Statistics Service (</w:t>
      </w:r>
      <w:r w:rsidR="001A5439" w:rsidRPr="003F6CA2">
        <w:rPr>
          <w:rFonts w:ascii="Times New Roman" w:hAnsi="Times New Roman" w:cs="Times New Roman"/>
          <w:color w:val="000000"/>
          <w:sz w:val="24"/>
          <w:szCs w:val="24"/>
          <w:lang w:val="en-US"/>
        </w:rPr>
        <w:t>Rosstat</w:t>
      </w:r>
      <w:r w:rsidR="001A5439">
        <w:rPr>
          <w:rFonts w:ascii="Times New Roman" w:hAnsi="Times New Roman" w:cs="Times New Roman"/>
          <w:color w:val="000000"/>
          <w:sz w:val="24"/>
          <w:szCs w:val="24"/>
          <w:lang w:val="en-US"/>
        </w:rPr>
        <w:t>)</w:t>
      </w:r>
      <w:proofErr w:type="gramEnd"/>
      <w:r w:rsidR="001A5439" w:rsidRPr="003F6CA2">
        <w:rPr>
          <w:rFonts w:ascii="Times New Roman" w:hAnsi="Times New Roman" w:cs="Times New Roman"/>
          <w:color w:val="000000"/>
          <w:sz w:val="24"/>
          <w:szCs w:val="24"/>
          <w:lang w:val="en-US"/>
        </w:rPr>
        <w:t xml:space="preserve">. The HSE area of responsibility </w:t>
      </w:r>
      <w:r w:rsidR="00CD4FEC">
        <w:rPr>
          <w:rFonts w:ascii="Times New Roman" w:hAnsi="Times New Roman" w:cs="Times New Roman"/>
          <w:color w:val="000000"/>
          <w:sz w:val="24"/>
          <w:szCs w:val="24"/>
          <w:lang w:val="en-US"/>
        </w:rPr>
        <w:t>covers</w:t>
      </w:r>
      <w:r w:rsidR="001A5439" w:rsidRPr="003F6CA2">
        <w:rPr>
          <w:rFonts w:ascii="Times New Roman" w:hAnsi="Times New Roman" w:cs="Times New Roman"/>
          <w:color w:val="000000"/>
          <w:sz w:val="24"/>
          <w:szCs w:val="24"/>
          <w:lang w:val="en-US"/>
        </w:rPr>
        <w:t xml:space="preserve"> methodology </w:t>
      </w:r>
      <w:r w:rsidR="001A5439" w:rsidRPr="003F6CA2">
        <w:rPr>
          <w:rFonts w:ascii="Times New Roman" w:hAnsi="Times New Roman" w:cs="Times New Roman"/>
          <w:color w:val="000000"/>
          <w:sz w:val="24"/>
          <w:szCs w:val="24"/>
          <w:lang w:val="en-US"/>
        </w:rPr>
        <w:lastRenderedPageBreak/>
        <w:t>development, data treatment (seasonal adjustment, calculation of composite indicators), preparing analytical reviews, scientific research and publications. Rosstat is responsible for sampling</w:t>
      </w:r>
      <w:r>
        <w:rPr>
          <w:rFonts w:ascii="Times New Roman" w:hAnsi="Times New Roman" w:cs="Times New Roman"/>
          <w:color w:val="000000"/>
          <w:sz w:val="24"/>
          <w:szCs w:val="24"/>
          <w:lang w:val="en-US"/>
        </w:rPr>
        <w:t xml:space="preserve"> and </w:t>
      </w:r>
      <w:r w:rsidR="001A5439" w:rsidRPr="003F6CA2">
        <w:rPr>
          <w:rFonts w:ascii="Times New Roman" w:hAnsi="Times New Roman" w:cs="Times New Roman"/>
          <w:color w:val="000000"/>
          <w:sz w:val="24"/>
          <w:szCs w:val="24"/>
          <w:lang w:val="en-US"/>
        </w:rPr>
        <w:t>collecting information.</w:t>
      </w:r>
      <w:r w:rsidR="0010461E">
        <w:rPr>
          <w:rFonts w:ascii="Times New Roman" w:hAnsi="Times New Roman" w:cs="Times New Roman"/>
          <w:color w:val="000000"/>
          <w:sz w:val="24"/>
          <w:szCs w:val="24"/>
          <w:lang w:val="en-US"/>
        </w:rPr>
        <w:t xml:space="preserve"> </w:t>
      </w:r>
      <w:r w:rsidR="001A5439" w:rsidRPr="0010461E">
        <w:rPr>
          <w:rFonts w:ascii="Times New Roman" w:hAnsi="Times New Roman" w:cs="Times New Roman"/>
          <w:color w:val="000000"/>
          <w:sz w:val="24"/>
          <w:szCs w:val="24"/>
          <w:lang w:val="en-US"/>
        </w:rPr>
        <w:t xml:space="preserve">The </w:t>
      </w:r>
      <w:r w:rsidR="009907A0" w:rsidRPr="0010461E">
        <w:rPr>
          <w:rFonts w:ascii="Times New Roman" w:hAnsi="Times New Roman" w:cs="Times New Roman"/>
          <w:color w:val="000000"/>
          <w:sz w:val="24"/>
          <w:szCs w:val="24"/>
          <w:lang w:val="en-US"/>
        </w:rPr>
        <w:t>survey</w:t>
      </w:r>
      <w:r w:rsidR="001A5439" w:rsidRPr="0010461E">
        <w:rPr>
          <w:rFonts w:ascii="Times New Roman" w:hAnsi="Times New Roman" w:cs="Times New Roman"/>
          <w:color w:val="000000"/>
          <w:sz w:val="24"/>
          <w:szCs w:val="24"/>
          <w:lang w:val="en-US"/>
        </w:rPr>
        <w:t xml:space="preserve"> program was adapted to national specificities</w:t>
      </w:r>
      <w:r w:rsidR="00CD4FEC">
        <w:rPr>
          <w:rFonts w:ascii="Times New Roman" w:hAnsi="Times New Roman" w:cs="Times New Roman"/>
          <w:color w:val="000000"/>
          <w:sz w:val="24"/>
          <w:szCs w:val="24"/>
          <w:lang w:val="en-US"/>
        </w:rPr>
        <w:t xml:space="preserve"> but</w:t>
      </w:r>
      <w:r w:rsidR="001A5439" w:rsidRPr="0010461E">
        <w:rPr>
          <w:rFonts w:ascii="Times New Roman" w:hAnsi="Times New Roman" w:cs="Times New Roman"/>
          <w:color w:val="000000"/>
          <w:sz w:val="24"/>
          <w:szCs w:val="24"/>
          <w:lang w:val="en-US"/>
        </w:rPr>
        <w:t xml:space="preserve"> </w:t>
      </w:r>
      <w:proofErr w:type="gramStart"/>
      <w:r w:rsidR="001A5439" w:rsidRPr="0010461E">
        <w:rPr>
          <w:rFonts w:ascii="Times New Roman" w:hAnsi="Times New Roman" w:cs="Times New Roman"/>
          <w:color w:val="000000"/>
          <w:sz w:val="24"/>
          <w:szCs w:val="24"/>
          <w:lang w:val="en-US"/>
        </w:rPr>
        <w:t>is based</w:t>
      </w:r>
      <w:proofErr w:type="gramEnd"/>
      <w:r w:rsidR="001A5439" w:rsidRPr="0010461E">
        <w:rPr>
          <w:rFonts w:ascii="Times New Roman" w:hAnsi="Times New Roman" w:cs="Times New Roman"/>
          <w:color w:val="000000"/>
          <w:sz w:val="24"/>
          <w:szCs w:val="24"/>
          <w:lang w:val="en-US"/>
        </w:rPr>
        <w:t xml:space="preserve"> on the European standards; </w:t>
      </w:r>
      <w:r w:rsidR="00CD4FEC">
        <w:rPr>
          <w:rFonts w:ascii="Times New Roman" w:hAnsi="Times New Roman" w:cs="Times New Roman"/>
          <w:color w:val="000000"/>
          <w:sz w:val="24"/>
          <w:szCs w:val="24"/>
          <w:lang w:val="en-US"/>
        </w:rPr>
        <w:t xml:space="preserve">therefore, </w:t>
      </w:r>
      <w:r w:rsidR="001A5439" w:rsidRPr="0010461E">
        <w:rPr>
          <w:rFonts w:ascii="Times New Roman" w:hAnsi="Times New Roman" w:cs="Times New Roman"/>
          <w:color w:val="000000"/>
          <w:sz w:val="24"/>
          <w:szCs w:val="24"/>
          <w:lang w:val="en-US"/>
        </w:rPr>
        <w:t xml:space="preserve">it </w:t>
      </w:r>
      <w:r w:rsidR="00CD4FEC">
        <w:rPr>
          <w:rFonts w:ascii="Times New Roman" w:hAnsi="Times New Roman" w:cs="Times New Roman"/>
          <w:color w:val="000000"/>
          <w:sz w:val="24"/>
          <w:szCs w:val="24"/>
          <w:lang w:val="en-US"/>
        </w:rPr>
        <w:t>is</w:t>
      </w:r>
      <w:r w:rsidR="001A5439" w:rsidRPr="0010461E">
        <w:rPr>
          <w:rFonts w:ascii="Times New Roman" w:hAnsi="Times New Roman" w:cs="Times New Roman"/>
          <w:color w:val="000000"/>
          <w:sz w:val="24"/>
          <w:szCs w:val="24"/>
          <w:lang w:val="en-US"/>
        </w:rPr>
        <w:t xml:space="preserve"> considered as </w:t>
      </w:r>
      <w:proofErr w:type="spellStart"/>
      <w:r w:rsidR="001A5439" w:rsidRPr="0010461E">
        <w:rPr>
          <w:rFonts w:ascii="Times New Roman" w:hAnsi="Times New Roman" w:cs="Times New Roman"/>
          <w:color w:val="000000"/>
          <w:sz w:val="24"/>
          <w:szCs w:val="24"/>
          <w:lang w:val="en-US"/>
        </w:rPr>
        <w:t>harmoni</w:t>
      </w:r>
      <w:r w:rsidR="00CA1C69">
        <w:rPr>
          <w:rFonts w:ascii="Times New Roman" w:hAnsi="Times New Roman" w:cs="Times New Roman"/>
          <w:color w:val="000000"/>
          <w:sz w:val="24"/>
          <w:szCs w:val="24"/>
          <w:lang w:val="en-US"/>
        </w:rPr>
        <w:t>s</w:t>
      </w:r>
      <w:r w:rsidR="001A5439" w:rsidRPr="0010461E">
        <w:rPr>
          <w:rFonts w:ascii="Times New Roman" w:hAnsi="Times New Roman" w:cs="Times New Roman"/>
          <w:color w:val="000000"/>
          <w:sz w:val="24"/>
          <w:szCs w:val="24"/>
          <w:lang w:val="en-US"/>
        </w:rPr>
        <w:t>ed</w:t>
      </w:r>
      <w:proofErr w:type="spellEnd"/>
      <w:r w:rsidR="001A5439" w:rsidRPr="0010461E">
        <w:rPr>
          <w:rFonts w:ascii="Times New Roman" w:hAnsi="Times New Roman" w:cs="Times New Roman"/>
          <w:color w:val="000000"/>
          <w:sz w:val="24"/>
          <w:szCs w:val="24"/>
          <w:lang w:val="en-US"/>
        </w:rPr>
        <w:t xml:space="preserve"> with the EU </w:t>
      </w:r>
      <w:proofErr w:type="spellStart"/>
      <w:r w:rsidR="001A5439" w:rsidRPr="0010461E">
        <w:rPr>
          <w:rFonts w:ascii="Times New Roman" w:hAnsi="Times New Roman" w:cs="Times New Roman"/>
          <w:color w:val="000000"/>
          <w:sz w:val="24"/>
          <w:szCs w:val="24"/>
          <w:lang w:val="en-US"/>
        </w:rPr>
        <w:t>Programme</w:t>
      </w:r>
      <w:proofErr w:type="spellEnd"/>
      <w:r w:rsidR="001A5439" w:rsidRPr="0010461E">
        <w:rPr>
          <w:rFonts w:ascii="Times New Roman" w:hAnsi="Times New Roman" w:cs="Times New Roman"/>
          <w:color w:val="000000"/>
          <w:sz w:val="24"/>
          <w:szCs w:val="24"/>
          <w:lang w:val="en-US"/>
        </w:rPr>
        <w:t xml:space="preserve"> of Business and Consumer Surveys. </w:t>
      </w:r>
    </w:p>
    <w:p w:rsidR="001A5439" w:rsidRPr="00160C8E" w:rsidRDefault="001A5439" w:rsidP="001A5439">
      <w:pPr>
        <w:keepNext/>
        <w:spacing w:before="240" w:after="120" w:line="360" w:lineRule="auto"/>
        <w:rPr>
          <w:rFonts w:ascii="Times New Roman" w:hAnsi="Times New Roman" w:cs="Times New Roman"/>
          <w:b/>
          <w:sz w:val="24"/>
          <w:szCs w:val="24"/>
          <w:lang w:val="en-US"/>
        </w:rPr>
      </w:pPr>
      <w:r w:rsidRPr="00160C8E">
        <w:rPr>
          <w:rFonts w:ascii="Times New Roman" w:hAnsi="Times New Roman" w:cs="Times New Roman"/>
          <w:b/>
          <w:sz w:val="24"/>
          <w:szCs w:val="24"/>
          <w:lang w:val="en-US"/>
        </w:rPr>
        <w:t>Data description and methodology</w:t>
      </w:r>
    </w:p>
    <w:p w:rsidR="001A5439" w:rsidRDefault="001A5439" w:rsidP="001A5439">
      <w:pPr>
        <w:spacing w:after="0" w:line="360" w:lineRule="auto"/>
        <w:ind w:firstLine="680"/>
        <w:jc w:val="both"/>
        <w:rPr>
          <w:rFonts w:ascii="Times New Roman" w:hAnsi="Times New Roman" w:cs="Times New Roman"/>
          <w:color w:val="000000"/>
          <w:sz w:val="24"/>
          <w:szCs w:val="24"/>
          <w:lang w:val="en-US"/>
        </w:rPr>
      </w:pPr>
      <w:r w:rsidRPr="00160C8E">
        <w:rPr>
          <w:rFonts w:ascii="Times New Roman" w:hAnsi="Times New Roman" w:cs="Times New Roman"/>
          <w:color w:val="000000"/>
          <w:sz w:val="24"/>
          <w:szCs w:val="24"/>
          <w:lang w:val="en-US"/>
        </w:rPr>
        <w:t xml:space="preserve">The study is based on the result of </w:t>
      </w:r>
      <w:r w:rsidR="0010461E">
        <w:rPr>
          <w:rFonts w:ascii="Times New Roman" w:hAnsi="Times New Roman" w:cs="Times New Roman"/>
          <w:color w:val="000000"/>
          <w:sz w:val="24"/>
          <w:szCs w:val="24"/>
          <w:lang w:val="en-US"/>
        </w:rPr>
        <w:t xml:space="preserve">regular </w:t>
      </w:r>
      <w:r w:rsidRPr="00160C8E">
        <w:rPr>
          <w:rFonts w:ascii="Times New Roman" w:hAnsi="Times New Roman" w:cs="Times New Roman"/>
          <w:color w:val="000000"/>
          <w:sz w:val="24"/>
          <w:szCs w:val="24"/>
          <w:lang w:val="en-US"/>
        </w:rPr>
        <w:t xml:space="preserve">Russian </w:t>
      </w:r>
      <w:r>
        <w:rPr>
          <w:rFonts w:ascii="Times New Roman" w:hAnsi="Times New Roman" w:cs="Times New Roman"/>
          <w:color w:val="000000"/>
          <w:sz w:val="24"/>
          <w:szCs w:val="24"/>
          <w:lang w:val="en-US"/>
        </w:rPr>
        <w:t xml:space="preserve">services </w:t>
      </w:r>
      <w:r w:rsidR="00CD4FEC" w:rsidRPr="00CD4FEC">
        <w:rPr>
          <w:rFonts w:ascii="Times New Roman" w:hAnsi="Times New Roman" w:cs="Times New Roman"/>
          <w:color w:val="000000"/>
          <w:sz w:val="24"/>
          <w:szCs w:val="24"/>
          <w:lang w:val="en-US"/>
        </w:rPr>
        <w:t xml:space="preserve">BTS </w:t>
      </w:r>
      <w:r>
        <w:rPr>
          <w:rFonts w:ascii="Times New Roman" w:hAnsi="Times New Roman" w:cs="Times New Roman"/>
          <w:color w:val="000000"/>
          <w:sz w:val="24"/>
          <w:szCs w:val="24"/>
          <w:lang w:val="en-US"/>
        </w:rPr>
        <w:t xml:space="preserve">for the period </w:t>
      </w:r>
      <w:r w:rsidR="00CD4FEC">
        <w:rPr>
          <w:rFonts w:ascii="Times New Roman" w:hAnsi="Times New Roman" w:cs="Times New Roman"/>
          <w:color w:val="000000"/>
          <w:sz w:val="24"/>
          <w:szCs w:val="24"/>
          <w:lang w:val="en-US"/>
        </w:rPr>
        <w:t>since</w:t>
      </w:r>
      <w:r>
        <w:rPr>
          <w:rFonts w:ascii="Times New Roman" w:hAnsi="Times New Roman" w:cs="Times New Roman"/>
          <w:color w:val="000000"/>
          <w:sz w:val="24"/>
          <w:szCs w:val="24"/>
          <w:lang w:val="en-US"/>
        </w:rPr>
        <w:t xml:space="preserve"> 2012Q1 to 2017Q4.</w:t>
      </w:r>
      <w:r w:rsidR="009907A0" w:rsidRPr="009907A0">
        <w:rPr>
          <w:rFonts w:ascii="Times New Roman" w:hAnsi="Times New Roman" w:cs="Times New Roman"/>
          <w:color w:val="000000"/>
          <w:sz w:val="24"/>
          <w:szCs w:val="24"/>
          <w:lang w:val="en-US"/>
        </w:rPr>
        <w:t xml:space="preserve"> </w:t>
      </w:r>
      <w:r w:rsidR="00CA1C69" w:rsidRPr="009907A0">
        <w:rPr>
          <w:rFonts w:ascii="Times New Roman" w:hAnsi="Times New Roman" w:cs="Times New Roman"/>
          <w:color w:val="000000"/>
          <w:sz w:val="24"/>
          <w:szCs w:val="24"/>
          <w:lang w:val="en-US"/>
        </w:rPr>
        <w:t>Therefore</w:t>
      </w:r>
      <w:r w:rsidR="009907A0" w:rsidRPr="009907A0">
        <w:rPr>
          <w:rFonts w:ascii="Times New Roman" w:hAnsi="Times New Roman" w:cs="Times New Roman"/>
          <w:color w:val="000000"/>
          <w:sz w:val="24"/>
          <w:szCs w:val="24"/>
          <w:lang w:val="en-US"/>
        </w:rPr>
        <w:t>, we have quite long series for the seasonal</w:t>
      </w:r>
      <w:r w:rsidR="009907A0">
        <w:rPr>
          <w:rFonts w:ascii="Times New Roman" w:hAnsi="Times New Roman" w:cs="Times New Roman"/>
          <w:color w:val="000000"/>
          <w:sz w:val="24"/>
          <w:szCs w:val="24"/>
          <w:lang w:val="en-US"/>
        </w:rPr>
        <w:t xml:space="preserve"> adjacent</w:t>
      </w:r>
      <w:r w:rsidR="009907A0" w:rsidRPr="009907A0">
        <w:rPr>
          <w:rFonts w:ascii="Times New Roman" w:hAnsi="Times New Roman" w:cs="Times New Roman"/>
          <w:color w:val="000000"/>
          <w:sz w:val="24"/>
          <w:szCs w:val="24"/>
          <w:lang w:val="en-US"/>
        </w:rPr>
        <w:t xml:space="preserve"> and economic analysis, but </w:t>
      </w:r>
      <w:r w:rsidR="00A46C4E">
        <w:rPr>
          <w:rFonts w:ascii="Times New Roman" w:hAnsi="Times New Roman" w:cs="Times New Roman"/>
          <w:color w:val="000000"/>
          <w:sz w:val="24"/>
          <w:szCs w:val="24"/>
          <w:lang w:val="en-US"/>
        </w:rPr>
        <w:t xml:space="preserve">it is not sufficient </w:t>
      </w:r>
      <w:r w:rsidR="009907A0" w:rsidRPr="009907A0">
        <w:rPr>
          <w:rFonts w:ascii="Times New Roman" w:hAnsi="Times New Roman" w:cs="Times New Roman"/>
          <w:color w:val="000000"/>
          <w:sz w:val="24"/>
          <w:szCs w:val="24"/>
          <w:lang w:val="en-US"/>
        </w:rPr>
        <w:t xml:space="preserve">to </w:t>
      </w:r>
      <w:r w:rsidR="00A46C4E">
        <w:rPr>
          <w:rFonts w:ascii="Times New Roman" w:hAnsi="Times New Roman" w:cs="Times New Roman"/>
          <w:color w:val="000000"/>
          <w:sz w:val="24"/>
          <w:szCs w:val="24"/>
          <w:lang w:val="en-US"/>
        </w:rPr>
        <w:t xml:space="preserve">identify their </w:t>
      </w:r>
      <w:r w:rsidR="009907A0" w:rsidRPr="009907A0">
        <w:rPr>
          <w:rFonts w:ascii="Times New Roman" w:hAnsi="Times New Roman" w:cs="Times New Roman"/>
          <w:color w:val="000000"/>
          <w:sz w:val="24"/>
          <w:szCs w:val="24"/>
          <w:lang w:val="en-US"/>
        </w:rPr>
        <w:t xml:space="preserve">cyclical </w:t>
      </w:r>
      <w:r w:rsidR="00A46C4E">
        <w:rPr>
          <w:rFonts w:ascii="Times New Roman" w:hAnsi="Times New Roman" w:cs="Times New Roman"/>
          <w:color w:val="000000"/>
          <w:sz w:val="24"/>
          <w:szCs w:val="24"/>
          <w:lang w:val="en-US"/>
        </w:rPr>
        <w:t>profile.</w:t>
      </w:r>
    </w:p>
    <w:p w:rsidR="001A0C56" w:rsidRPr="00160C8E" w:rsidRDefault="001A0C56" w:rsidP="001A5439">
      <w:pPr>
        <w:spacing w:after="0" w:line="360" w:lineRule="auto"/>
        <w:ind w:firstLine="6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w:t>
      </w:r>
      <w:r w:rsidRPr="003B120A">
        <w:rPr>
          <w:rFonts w:ascii="Times New Roman" w:hAnsi="Times New Roman" w:cs="Times New Roman"/>
          <w:color w:val="000000"/>
          <w:sz w:val="24"/>
          <w:szCs w:val="24"/>
          <w:lang w:val="en-US"/>
        </w:rPr>
        <w:t xml:space="preserve"> survey is carried out quarterly</w:t>
      </w:r>
      <w:r w:rsidR="00FF467F">
        <w:rPr>
          <w:rFonts w:ascii="Times New Roman" w:hAnsi="Times New Roman" w:cs="Times New Roman"/>
          <w:color w:val="000000"/>
          <w:sz w:val="24"/>
          <w:szCs w:val="24"/>
          <w:lang w:val="en-US"/>
        </w:rPr>
        <w:t>,</w:t>
      </w:r>
      <w:r w:rsidRPr="003B120A">
        <w:rPr>
          <w:rFonts w:ascii="Times New Roman" w:hAnsi="Times New Roman" w:cs="Times New Roman"/>
          <w:color w:val="000000"/>
          <w:sz w:val="24"/>
          <w:szCs w:val="24"/>
          <w:lang w:val="en-US"/>
        </w:rPr>
        <w:t xml:space="preserve"> covers about 5 500 organi</w:t>
      </w:r>
      <w:r w:rsidR="00D430B3">
        <w:rPr>
          <w:rFonts w:ascii="Times New Roman" w:hAnsi="Times New Roman" w:cs="Times New Roman"/>
          <w:color w:val="000000"/>
          <w:sz w:val="24"/>
          <w:szCs w:val="24"/>
          <w:lang w:val="en-US"/>
        </w:rPr>
        <w:t>z</w:t>
      </w:r>
      <w:r w:rsidRPr="003B120A">
        <w:rPr>
          <w:rFonts w:ascii="Times New Roman" w:hAnsi="Times New Roman" w:cs="Times New Roman"/>
          <w:color w:val="000000"/>
          <w:sz w:val="24"/>
          <w:szCs w:val="24"/>
          <w:lang w:val="en-US"/>
        </w:rPr>
        <w:t>ations providing commercial services (except micro organizations)</w:t>
      </w:r>
      <w:r w:rsidR="00FF467F">
        <w:rPr>
          <w:rFonts w:ascii="Times New Roman" w:hAnsi="Times New Roman" w:cs="Times New Roman"/>
          <w:color w:val="000000"/>
          <w:sz w:val="24"/>
          <w:szCs w:val="24"/>
          <w:lang w:val="en-US"/>
        </w:rPr>
        <w:t>,</w:t>
      </w:r>
      <w:r w:rsidRPr="003B120A">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includes 15</w:t>
      </w:r>
      <w:r w:rsidRPr="003B120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kinds of economic activities </w:t>
      </w:r>
      <w:r w:rsidR="007F7E8D" w:rsidRPr="007F7E8D">
        <w:rPr>
          <w:rFonts w:ascii="Times New Roman" w:hAnsi="Times New Roman" w:cs="Times New Roman"/>
          <w:color w:val="000000"/>
          <w:sz w:val="24"/>
          <w:szCs w:val="24"/>
          <w:lang w:val="en-US"/>
        </w:rPr>
        <w:t>according to the Russian Classification of Economic Activities (OKVED), which is compatible with the Statistical Classification of Economic Activities in the Europe</w:t>
      </w:r>
      <w:r w:rsidR="007F7E8D">
        <w:rPr>
          <w:rFonts w:ascii="Times New Roman" w:hAnsi="Times New Roman" w:cs="Times New Roman"/>
          <w:color w:val="000000"/>
          <w:sz w:val="24"/>
          <w:szCs w:val="24"/>
          <w:lang w:val="en-US"/>
        </w:rPr>
        <w:t>an Communities (NACE Rev. 1.1)</w:t>
      </w:r>
      <w:r w:rsidR="007F7E8D">
        <w:rPr>
          <w:rStyle w:val="a6"/>
          <w:rFonts w:ascii="Times New Roman" w:hAnsi="Times New Roman" w:cs="Times New Roman"/>
          <w:color w:val="000000"/>
          <w:sz w:val="24"/>
          <w:szCs w:val="24"/>
          <w:lang w:val="en-US"/>
        </w:rPr>
        <w:footnoteReference w:id="3"/>
      </w:r>
      <w:r w:rsidR="007F7E8D">
        <w:rPr>
          <w:rFonts w:ascii="Times New Roman" w:hAnsi="Times New Roman" w:cs="Times New Roman"/>
          <w:color w:val="000000"/>
          <w:sz w:val="24"/>
          <w:szCs w:val="24"/>
          <w:lang w:val="en-US"/>
        </w:rPr>
        <w:t>.</w:t>
      </w:r>
      <w:r w:rsidR="00CD4FE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w:t>
      </w:r>
      <w:r w:rsidR="00CD4FEC">
        <w:rPr>
          <w:rFonts w:ascii="Times New Roman" w:hAnsi="Times New Roman" w:cs="Times New Roman"/>
          <w:color w:val="000000"/>
          <w:sz w:val="24"/>
          <w:szCs w:val="24"/>
          <w:lang w:val="en-US"/>
        </w:rPr>
        <w:t xml:space="preserve">survey </w:t>
      </w:r>
      <w:r>
        <w:rPr>
          <w:rFonts w:ascii="Times New Roman" w:hAnsi="Times New Roman" w:cs="Times New Roman"/>
          <w:color w:val="000000"/>
          <w:sz w:val="24"/>
          <w:szCs w:val="24"/>
          <w:lang w:val="en-US"/>
        </w:rPr>
        <w:t>q</w:t>
      </w:r>
      <w:r w:rsidRPr="001A0C56">
        <w:rPr>
          <w:rFonts w:ascii="Times New Roman" w:hAnsi="Times New Roman" w:cs="Times New Roman"/>
          <w:color w:val="000000"/>
          <w:sz w:val="24"/>
          <w:szCs w:val="24"/>
          <w:lang w:val="en-US"/>
        </w:rPr>
        <w:t xml:space="preserve">uestionnaire </w:t>
      </w:r>
      <w:r>
        <w:rPr>
          <w:rFonts w:ascii="Times New Roman" w:hAnsi="Times New Roman" w:cs="Times New Roman"/>
          <w:color w:val="000000"/>
          <w:sz w:val="24"/>
          <w:szCs w:val="24"/>
          <w:lang w:val="en-US"/>
        </w:rPr>
        <w:t xml:space="preserve">and </w:t>
      </w:r>
      <w:r w:rsidR="00FF467F">
        <w:rPr>
          <w:rFonts w:ascii="Times New Roman" w:hAnsi="Times New Roman" w:cs="Times New Roman"/>
          <w:color w:val="000000"/>
          <w:sz w:val="24"/>
          <w:szCs w:val="24"/>
          <w:lang w:val="en-US"/>
        </w:rPr>
        <w:t xml:space="preserve">the list of surveyed </w:t>
      </w:r>
      <w:r>
        <w:rPr>
          <w:rFonts w:ascii="Times New Roman" w:hAnsi="Times New Roman" w:cs="Times New Roman"/>
          <w:color w:val="000000"/>
          <w:sz w:val="24"/>
          <w:szCs w:val="24"/>
          <w:lang w:val="en-US"/>
        </w:rPr>
        <w:t xml:space="preserve">economic activities </w:t>
      </w:r>
      <w:proofErr w:type="gramStart"/>
      <w:r w:rsidRPr="001A0C56">
        <w:rPr>
          <w:rFonts w:ascii="Times New Roman" w:hAnsi="Times New Roman" w:cs="Times New Roman"/>
          <w:color w:val="000000"/>
          <w:sz w:val="24"/>
          <w:szCs w:val="24"/>
          <w:lang w:val="en-US"/>
        </w:rPr>
        <w:t>are shown</w:t>
      </w:r>
      <w:proofErr w:type="gramEnd"/>
      <w:r w:rsidRPr="001A0C56">
        <w:rPr>
          <w:rFonts w:ascii="Times New Roman" w:hAnsi="Times New Roman" w:cs="Times New Roman"/>
          <w:color w:val="000000"/>
          <w:sz w:val="24"/>
          <w:szCs w:val="24"/>
          <w:lang w:val="en-US"/>
        </w:rPr>
        <w:t xml:space="preserve"> in Appendix.</w:t>
      </w:r>
    </w:p>
    <w:p w:rsidR="001A5439" w:rsidRPr="003B120A" w:rsidRDefault="001A5439" w:rsidP="001A5439">
      <w:pPr>
        <w:spacing w:after="0" w:line="360" w:lineRule="auto"/>
        <w:ind w:firstLine="680"/>
        <w:jc w:val="both"/>
        <w:rPr>
          <w:rFonts w:ascii="Times New Roman" w:hAnsi="Times New Roman" w:cs="Times New Roman"/>
          <w:color w:val="000000"/>
          <w:sz w:val="24"/>
          <w:szCs w:val="24"/>
          <w:lang w:val="en-US"/>
        </w:rPr>
      </w:pPr>
      <w:r w:rsidRPr="003B120A">
        <w:rPr>
          <w:rFonts w:ascii="Times New Roman" w:hAnsi="Times New Roman" w:cs="Times New Roman"/>
          <w:color w:val="000000"/>
          <w:sz w:val="24"/>
          <w:szCs w:val="24"/>
          <w:lang w:val="en-US"/>
        </w:rPr>
        <w:t xml:space="preserve">Multivariate stratified sampling with random or mechanical selection of observation units in stratum is used; the fixed panel of companies </w:t>
      </w:r>
      <w:proofErr w:type="gramStart"/>
      <w:r w:rsidRPr="003B120A">
        <w:rPr>
          <w:rFonts w:ascii="Times New Roman" w:hAnsi="Times New Roman" w:cs="Times New Roman"/>
          <w:color w:val="000000"/>
          <w:sz w:val="24"/>
          <w:szCs w:val="24"/>
          <w:lang w:val="en-US"/>
        </w:rPr>
        <w:t>is updated</w:t>
      </w:r>
      <w:proofErr w:type="gramEnd"/>
      <w:r w:rsidRPr="003B120A">
        <w:rPr>
          <w:rFonts w:ascii="Times New Roman" w:hAnsi="Times New Roman" w:cs="Times New Roman"/>
          <w:color w:val="000000"/>
          <w:sz w:val="24"/>
          <w:szCs w:val="24"/>
          <w:lang w:val="en-US"/>
        </w:rPr>
        <w:t xml:space="preserve"> at regular intervals. Stratification is required due to the structural heterogeneity of the Russian economy; stratification criteria are kinds of activity, firm size (the number of employees</w:t>
      </w:r>
      <w:r w:rsidR="00CD4FEC">
        <w:rPr>
          <w:rFonts w:ascii="Times New Roman" w:hAnsi="Times New Roman" w:cs="Times New Roman"/>
          <w:color w:val="000000"/>
          <w:sz w:val="24"/>
          <w:szCs w:val="24"/>
          <w:lang w:val="en-US"/>
        </w:rPr>
        <w:t xml:space="preserve">) and regions. Target universe </w:t>
      </w:r>
      <w:proofErr w:type="gramStart"/>
      <w:r w:rsidR="00CD4FEC">
        <w:rPr>
          <w:rFonts w:ascii="Times New Roman" w:hAnsi="Times New Roman" w:cs="Times New Roman"/>
          <w:color w:val="000000"/>
          <w:sz w:val="24"/>
          <w:szCs w:val="24"/>
          <w:lang w:val="en-US"/>
        </w:rPr>
        <w:t xml:space="preserve">is </w:t>
      </w:r>
      <w:r w:rsidRPr="003B120A">
        <w:rPr>
          <w:rFonts w:ascii="Times New Roman" w:hAnsi="Times New Roman" w:cs="Times New Roman"/>
          <w:color w:val="000000"/>
          <w:sz w:val="24"/>
          <w:szCs w:val="24"/>
          <w:lang w:val="en-US"/>
        </w:rPr>
        <w:t>obtained</w:t>
      </w:r>
      <w:proofErr w:type="gramEnd"/>
      <w:r w:rsidRPr="003B120A">
        <w:rPr>
          <w:rFonts w:ascii="Times New Roman" w:hAnsi="Times New Roman" w:cs="Times New Roman"/>
          <w:color w:val="000000"/>
          <w:sz w:val="24"/>
          <w:szCs w:val="24"/>
          <w:lang w:val="en-US"/>
        </w:rPr>
        <w:t xml:space="preserve"> from the Statistical Business Register</w:t>
      </w:r>
      <w:r w:rsidR="004577CA">
        <w:rPr>
          <w:rFonts w:ascii="Times New Roman" w:hAnsi="Times New Roman" w:cs="Times New Roman"/>
          <w:color w:val="000000"/>
          <w:sz w:val="24"/>
          <w:szCs w:val="24"/>
          <w:lang w:val="en-US"/>
        </w:rPr>
        <w:t>; the s</w:t>
      </w:r>
      <w:r w:rsidRPr="003B120A">
        <w:rPr>
          <w:rFonts w:ascii="Times New Roman" w:hAnsi="Times New Roman" w:cs="Times New Roman"/>
          <w:color w:val="000000"/>
          <w:sz w:val="24"/>
          <w:szCs w:val="24"/>
          <w:lang w:val="en-US"/>
        </w:rPr>
        <w:t>ample</w:t>
      </w:r>
      <w:r w:rsidR="004577CA">
        <w:rPr>
          <w:rFonts w:ascii="Times New Roman" w:hAnsi="Times New Roman" w:cs="Times New Roman"/>
          <w:color w:val="000000"/>
          <w:sz w:val="24"/>
          <w:szCs w:val="24"/>
          <w:lang w:val="en-US"/>
        </w:rPr>
        <w:t xml:space="preserve"> is</w:t>
      </w:r>
      <w:r w:rsidRPr="003B120A">
        <w:rPr>
          <w:rFonts w:ascii="Times New Roman" w:hAnsi="Times New Roman" w:cs="Times New Roman"/>
          <w:color w:val="000000"/>
          <w:sz w:val="24"/>
          <w:szCs w:val="24"/>
          <w:lang w:val="en-US"/>
        </w:rPr>
        <w:t xml:space="preserve"> representative at the level of aggregate economic activities and </w:t>
      </w:r>
      <w:r w:rsidR="00A46C4E">
        <w:rPr>
          <w:rFonts w:ascii="Times New Roman" w:hAnsi="Times New Roman" w:cs="Times New Roman"/>
          <w:color w:val="000000"/>
          <w:sz w:val="24"/>
          <w:szCs w:val="24"/>
          <w:lang w:val="en-US"/>
        </w:rPr>
        <w:t>region</w:t>
      </w:r>
      <w:r w:rsidR="007F7E8D">
        <w:rPr>
          <w:rFonts w:ascii="Times New Roman" w:hAnsi="Times New Roman" w:cs="Times New Roman"/>
          <w:color w:val="000000"/>
          <w:sz w:val="24"/>
          <w:szCs w:val="24"/>
          <w:lang w:val="en-US"/>
        </w:rPr>
        <w:t>s</w:t>
      </w:r>
      <w:r w:rsidRPr="003B120A">
        <w:rPr>
          <w:rFonts w:ascii="Times New Roman" w:hAnsi="Times New Roman" w:cs="Times New Roman"/>
          <w:color w:val="000000"/>
          <w:sz w:val="24"/>
          <w:szCs w:val="24"/>
          <w:lang w:val="en-US"/>
        </w:rPr>
        <w:t xml:space="preserve">. </w:t>
      </w:r>
    </w:p>
    <w:p w:rsidR="001A0C56" w:rsidRPr="003B120A" w:rsidRDefault="001A0C56" w:rsidP="001A0C56">
      <w:pPr>
        <w:spacing w:after="0" w:line="360" w:lineRule="auto"/>
        <w:ind w:firstLine="6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Pr="003B120A">
        <w:rPr>
          <w:rFonts w:ascii="Times New Roman" w:hAnsi="Times New Roman" w:cs="Times New Roman"/>
          <w:color w:val="000000"/>
          <w:sz w:val="24"/>
          <w:szCs w:val="24"/>
          <w:lang w:val="en-US"/>
        </w:rPr>
        <w:t>he average response rate is larger than 90%</w:t>
      </w:r>
      <w:r>
        <w:rPr>
          <w:rFonts w:ascii="Times New Roman" w:hAnsi="Times New Roman" w:cs="Times New Roman"/>
          <w:color w:val="000000"/>
          <w:sz w:val="24"/>
          <w:szCs w:val="24"/>
          <w:lang w:val="en-US"/>
        </w:rPr>
        <w:t xml:space="preserve"> because </w:t>
      </w:r>
      <w:r w:rsidR="007F7E8D">
        <w:rPr>
          <w:rFonts w:ascii="Times New Roman" w:hAnsi="Times New Roman" w:cs="Times New Roman"/>
          <w:color w:val="000000"/>
          <w:sz w:val="24"/>
          <w:szCs w:val="24"/>
          <w:lang w:val="en-US"/>
        </w:rPr>
        <w:t>to</w:t>
      </w:r>
      <w:r w:rsidRPr="003B120A">
        <w:rPr>
          <w:rFonts w:ascii="Times New Roman" w:hAnsi="Times New Roman" w:cs="Times New Roman"/>
          <w:color w:val="000000"/>
          <w:sz w:val="24"/>
          <w:szCs w:val="24"/>
          <w:lang w:val="en-US"/>
        </w:rPr>
        <w:t xml:space="preserve"> participat</w:t>
      </w:r>
      <w:r w:rsidR="007F7E8D">
        <w:rPr>
          <w:rFonts w:ascii="Times New Roman" w:hAnsi="Times New Roman" w:cs="Times New Roman"/>
          <w:color w:val="000000"/>
          <w:sz w:val="24"/>
          <w:szCs w:val="24"/>
          <w:lang w:val="en-US"/>
        </w:rPr>
        <w:t>e</w:t>
      </w:r>
      <w:r w:rsidRPr="003B120A">
        <w:rPr>
          <w:rFonts w:ascii="Times New Roman" w:hAnsi="Times New Roman" w:cs="Times New Roman"/>
          <w:color w:val="000000"/>
          <w:sz w:val="24"/>
          <w:szCs w:val="24"/>
          <w:lang w:val="en-US"/>
        </w:rPr>
        <w:t xml:space="preserve"> in statistical surveys in Russia is compulsory</w:t>
      </w:r>
      <w:r>
        <w:rPr>
          <w:rFonts w:ascii="Times New Roman" w:hAnsi="Times New Roman" w:cs="Times New Roman"/>
          <w:color w:val="000000"/>
          <w:sz w:val="24"/>
          <w:szCs w:val="24"/>
          <w:lang w:val="en-US"/>
        </w:rPr>
        <w:t xml:space="preserve"> and </w:t>
      </w:r>
      <w:r w:rsidRPr="003B120A">
        <w:rPr>
          <w:rFonts w:ascii="Times New Roman" w:hAnsi="Times New Roman" w:cs="Times New Roman"/>
          <w:color w:val="000000"/>
          <w:sz w:val="24"/>
          <w:szCs w:val="24"/>
          <w:lang w:val="en-US"/>
        </w:rPr>
        <w:t>non-response is not a considerable problem</w:t>
      </w:r>
      <w:r>
        <w:rPr>
          <w:rFonts w:ascii="Times New Roman" w:hAnsi="Times New Roman" w:cs="Times New Roman"/>
          <w:color w:val="000000"/>
          <w:sz w:val="24"/>
          <w:szCs w:val="24"/>
          <w:lang w:val="en-US"/>
        </w:rPr>
        <w:t>.</w:t>
      </w:r>
      <w:r w:rsidRPr="003B120A">
        <w:rPr>
          <w:rFonts w:ascii="Times New Roman" w:hAnsi="Times New Roman" w:cs="Times New Roman"/>
          <w:color w:val="000000"/>
          <w:sz w:val="24"/>
          <w:szCs w:val="24"/>
          <w:lang w:val="en-US"/>
        </w:rPr>
        <w:t xml:space="preserve"> </w:t>
      </w:r>
    </w:p>
    <w:p w:rsidR="00303ACF" w:rsidRPr="003B120A" w:rsidRDefault="00303ACF" w:rsidP="00303ACF">
      <w:pPr>
        <w:spacing w:after="0" w:line="360" w:lineRule="auto"/>
        <w:ind w:firstLine="680"/>
        <w:jc w:val="both"/>
        <w:rPr>
          <w:rFonts w:ascii="Times New Roman" w:hAnsi="Times New Roman" w:cs="Times New Roman"/>
          <w:color w:val="000000"/>
          <w:sz w:val="24"/>
          <w:szCs w:val="24"/>
          <w:lang w:val="en-US"/>
        </w:rPr>
      </w:pPr>
      <w:r w:rsidRPr="003B120A">
        <w:rPr>
          <w:rFonts w:ascii="Times New Roman" w:hAnsi="Times New Roman" w:cs="Times New Roman"/>
          <w:color w:val="000000"/>
          <w:sz w:val="24"/>
          <w:szCs w:val="24"/>
          <w:lang w:val="en-US"/>
        </w:rPr>
        <w:t>To eliminate seasonal pattern in time series of balances, the seasonal decomposition procedure is applied; we use SPSS software with the Autoregressive Integrated Moving Average (ARIMA) module.</w:t>
      </w:r>
    </w:p>
    <w:p w:rsidR="00B82B45" w:rsidRPr="00234CE9" w:rsidRDefault="009103D0" w:rsidP="00B82B45">
      <w:pPr>
        <w:spacing w:after="0" w:line="360" w:lineRule="auto"/>
        <w:ind w:firstLine="6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To summarize perceptions and expectations in a one-dimensional </w:t>
      </w:r>
      <w:proofErr w:type="spellStart"/>
      <w:r>
        <w:rPr>
          <w:rFonts w:ascii="Times New Roman" w:hAnsi="Times New Roman" w:cs="Times New Roman"/>
          <w:color w:val="000000"/>
          <w:sz w:val="24"/>
          <w:szCs w:val="24"/>
          <w:lang w:val="en-US"/>
        </w:rPr>
        <w:t>sectoral</w:t>
      </w:r>
      <w:proofErr w:type="spellEnd"/>
      <w:r>
        <w:rPr>
          <w:rFonts w:ascii="Times New Roman" w:hAnsi="Times New Roman" w:cs="Times New Roman"/>
          <w:color w:val="000000"/>
          <w:sz w:val="24"/>
          <w:szCs w:val="24"/>
          <w:lang w:val="en-US"/>
        </w:rPr>
        <w:t xml:space="preserve"> index, </w:t>
      </w:r>
      <w:r w:rsidR="007F7E8D">
        <w:rPr>
          <w:rFonts w:ascii="Times New Roman" w:hAnsi="Times New Roman" w:cs="Times New Roman"/>
          <w:color w:val="000000"/>
          <w:sz w:val="24"/>
          <w:szCs w:val="24"/>
          <w:lang w:val="en-US"/>
        </w:rPr>
        <w:t xml:space="preserve">we calculate </w:t>
      </w:r>
      <w:r>
        <w:rPr>
          <w:rFonts w:ascii="Times New Roman" w:hAnsi="Times New Roman" w:cs="Times New Roman"/>
          <w:color w:val="000000"/>
          <w:sz w:val="24"/>
          <w:szCs w:val="24"/>
          <w:lang w:val="en-US"/>
        </w:rPr>
        <w:t>t</w:t>
      </w:r>
      <w:r w:rsidR="00B82B45" w:rsidRPr="00190481">
        <w:rPr>
          <w:rFonts w:ascii="Times New Roman" w:hAnsi="Times New Roman" w:cs="Times New Roman"/>
          <w:color w:val="000000"/>
          <w:sz w:val="24"/>
          <w:szCs w:val="24"/>
          <w:lang w:val="en-US"/>
        </w:rPr>
        <w:t xml:space="preserve">he </w:t>
      </w:r>
      <w:r>
        <w:rPr>
          <w:rFonts w:ascii="Times New Roman" w:hAnsi="Times New Roman" w:cs="Times New Roman"/>
          <w:color w:val="000000"/>
          <w:sz w:val="24"/>
          <w:szCs w:val="24"/>
          <w:lang w:val="en-US"/>
        </w:rPr>
        <w:t xml:space="preserve">services </w:t>
      </w:r>
      <w:r w:rsidR="00B82B45" w:rsidRPr="00190481">
        <w:rPr>
          <w:rFonts w:ascii="Times New Roman" w:hAnsi="Times New Roman" w:cs="Times New Roman"/>
          <w:color w:val="000000"/>
          <w:sz w:val="24"/>
          <w:szCs w:val="24"/>
          <w:lang w:val="en-US"/>
        </w:rPr>
        <w:t xml:space="preserve">confidence indicators in accordance with the OECD and European Commission recommendations </w:t>
      </w:r>
      <w:r w:rsidR="00B82B45" w:rsidRPr="00234CE9">
        <w:rPr>
          <w:rFonts w:ascii="Times New Roman" w:hAnsi="Times New Roman" w:cs="Times New Roman"/>
          <w:color w:val="000000"/>
          <w:sz w:val="24"/>
          <w:szCs w:val="24"/>
          <w:lang w:val="en-US"/>
        </w:rPr>
        <w:sym w:font="Symbol" w:char="F05B"/>
      </w:r>
      <w:r w:rsidR="00B82B45" w:rsidRPr="00234CE9">
        <w:rPr>
          <w:rFonts w:ascii="Times New Roman" w:hAnsi="Times New Roman" w:cs="Times New Roman"/>
          <w:color w:val="000000"/>
          <w:sz w:val="24"/>
          <w:szCs w:val="24"/>
          <w:lang w:val="en-US"/>
        </w:rPr>
        <w:t>European Commission, 2017; OECD, 2003</w:t>
      </w:r>
      <w:r w:rsidR="00B82B45" w:rsidRPr="00234CE9">
        <w:rPr>
          <w:rFonts w:ascii="Times New Roman" w:hAnsi="Times New Roman" w:cs="Times New Roman"/>
          <w:color w:val="000000"/>
          <w:sz w:val="24"/>
          <w:szCs w:val="24"/>
          <w:lang w:val="en-US"/>
        </w:rPr>
        <w:sym w:font="Symbol" w:char="F05D"/>
      </w:r>
      <w:r w:rsidR="00B82B45" w:rsidRPr="00234CE9">
        <w:rPr>
          <w:rFonts w:ascii="Times New Roman" w:hAnsi="Times New Roman" w:cs="Times New Roman"/>
          <w:color w:val="000000"/>
          <w:sz w:val="24"/>
          <w:szCs w:val="24"/>
          <w:lang w:val="en-US"/>
        </w:rPr>
        <w:t xml:space="preserve"> as</w:t>
      </w:r>
      <w:r w:rsidR="00B82B45" w:rsidRPr="00190481">
        <w:rPr>
          <w:rFonts w:ascii="Times New Roman" w:hAnsi="Times New Roman" w:cs="Times New Roman"/>
          <w:color w:val="000000"/>
          <w:sz w:val="24"/>
          <w:szCs w:val="24"/>
          <w:lang w:val="en-US"/>
        </w:rPr>
        <w:t xml:space="preserve"> the simple arithmetic average of the </w:t>
      </w:r>
      <w:r w:rsidR="00303ACF">
        <w:rPr>
          <w:rFonts w:ascii="Times New Roman" w:hAnsi="Times New Roman" w:cs="Times New Roman"/>
          <w:color w:val="000000"/>
          <w:sz w:val="24"/>
          <w:szCs w:val="24"/>
          <w:lang w:val="en-US"/>
        </w:rPr>
        <w:t xml:space="preserve">seasonal adjusted </w:t>
      </w:r>
      <w:r w:rsidR="00B82B45" w:rsidRPr="00190481">
        <w:rPr>
          <w:rFonts w:ascii="Times New Roman" w:hAnsi="Times New Roman" w:cs="Times New Roman"/>
          <w:color w:val="000000"/>
          <w:sz w:val="24"/>
          <w:szCs w:val="24"/>
          <w:lang w:val="en-US"/>
        </w:rPr>
        <w:t>balances (in percentage po</w:t>
      </w:r>
      <w:r w:rsidR="00B82B45">
        <w:rPr>
          <w:rFonts w:ascii="Times New Roman" w:hAnsi="Times New Roman" w:cs="Times New Roman"/>
          <w:color w:val="000000"/>
          <w:sz w:val="24"/>
          <w:szCs w:val="24"/>
          <w:lang w:val="en-US"/>
        </w:rPr>
        <w:t xml:space="preserve">ints) </w:t>
      </w:r>
      <w:r w:rsidR="00303ACF" w:rsidRPr="00303ACF">
        <w:rPr>
          <w:rFonts w:ascii="Times New Roman" w:hAnsi="Times New Roman" w:cs="Times New Roman"/>
          <w:color w:val="000000"/>
          <w:sz w:val="24"/>
          <w:szCs w:val="24"/>
          <w:lang w:val="en-US"/>
        </w:rPr>
        <w:t xml:space="preserve">of </w:t>
      </w:r>
      <w:r w:rsidR="00303ACF">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assessments</w:t>
      </w:r>
      <w:r w:rsidR="00B82B45" w:rsidRPr="00234CE9">
        <w:rPr>
          <w:rFonts w:ascii="Times New Roman" w:hAnsi="Times New Roman" w:cs="Times New Roman"/>
          <w:color w:val="000000"/>
          <w:sz w:val="24"/>
          <w:szCs w:val="24"/>
          <w:lang w:val="en-US"/>
        </w:rPr>
        <w:t>:</w:t>
      </w:r>
    </w:p>
    <w:p w:rsidR="00B82B45" w:rsidRPr="00234CE9" w:rsidRDefault="00B82B45" w:rsidP="00B82B45">
      <w:pPr>
        <w:pStyle w:val="a3"/>
        <w:numPr>
          <w:ilvl w:val="0"/>
          <w:numId w:val="7"/>
        </w:numPr>
        <w:spacing w:after="0" w:line="360" w:lineRule="auto"/>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eastAsia="ru-RU"/>
        </w:rPr>
        <w:t xml:space="preserve">Business situation changes </w:t>
      </w:r>
      <w:r w:rsidRPr="00234CE9">
        <w:rPr>
          <w:rFonts w:ascii="Times New Roman" w:hAnsi="Times New Roman" w:cs="Times New Roman"/>
          <w:color w:val="000000"/>
          <w:sz w:val="24"/>
          <w:szCs w:val="24"/>
          <w:lang w:val="en-US"/>
        </w:rPr>
        <w:t>over the past 3 months</w:t>
      </w:r>
      <w:r w:rsidR="00303ACF">
        <w:rPr>
          <w:rFonts w:ascii="Times New Roman" w:hAnsi="Times New Roman" w:cs="Times New Roman"/>
          <w:color w:val="000000"/>
          <w:sz w:val="24"/>
          <w:szCs w:val="24"/>
          <w:lang w:val="en-US"/>
        </w:rPr>
        <w:t>;</w:t>
      </w:r>
    </w:p>
    <w:p w:rsidR="00B82B45" w:rsidRDefault="00B82B45" w:rsidP="00B82B45">
      <w:pPr>
        <w:pStyle w:val="a3"/>
        <w:numPr>
          <w:ilvl w:val="0"/>
          <w:numId w:val="7"/>
        </w:numPr>
        <w:spacing w:after="0" w:line="360" w:lineRule="auto"/>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eastAsia="ru-RU"/>
        </w:rPr>
        <w:t>Demand for services changes over the past quarter</w:t>
      </w:r>
      <w:r w:rsidR="00303ACF">
        <w:rPr>
          <w:rFonts w:ascii="Times New Roman" w:hAnsi="Times New Roman" w:cs="Times New Roman"/>
          <w:color w:val="000000"/>
          <w:sz w:val="24"/>
          <w:szCs w:val="24"/>
          <w:lang w:val="en-US"/>
        </w:rPr>
        <w:t>;</w:t>
      </w:r>
    </w:p>
    <w:p w:rsidR="00B82B45" w:rsidRDefault="00B82B45" w:rsidP="00B82B45">
      <w:pPr>
        <w:pStyle w:val="a3"/>
        <w:numPr>
          <w:ilvl w:val="0"/>
          <w:numId w:val="7"/>
        </w:numPr>
        <w:spacing w:after="0" w:line="360" w:lineRule="auto"/>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eastAsia="ru-RU"/>
        </w:rPr>
        <w:lastRenderedPageBreak/>
        <w:t xml:space="preserve">Demand for services expectations </w:t>
      </w:r>
      <w:r w:rsidRPr="00234CE9">
        <w:rPr>
          <w:rFonts w:ascii="Times New Roman" w:hAnsi="Times New Roman" w:cs="Times New Roman"/>
          <w:color w:val="000000"/>
          <w:sz w:val="24"/>
          <w:szCs w:val="24"/>
          <w:lang w:val="en-US"/>
        </w:rPr>
        <w:t>over the next 3 months.</w:t>
      </w:r>
    </w:p>
    <w:p w:rsidR="00B82B45" w:rsidRPr="00234CE9" w:rsidRDefault="00D95C7A" w:rsidP="00B82B45">
      <w:pPr>
        <w:spacing w:after="0" w:line="360" w:lineRule="auto"/>
        <w:ind w:firstLine="6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To extract the information common for a set of survey series that is supposed to move contemporaneously with overall </w:t>
      </w:r>
      <w:proofErr w:type="spellStart"/>
      <w:r>
        <w:rPr>
          <w:rFonts w:ascii="Times New Roman" w:hAnsi="Times New Roman" w:cs="Times New Roman"/>
          <w:color w:val="000000"/>
          <w:sz w:val="24"/>
          <w:szCs w:val="24"/>
          <w:lang w:val="en-US"/>
        </w:rPr>
        <w:t>sectoral</w:t>
      </w:r>
      <w:proofErr w:type="spellEnd"/>
      <w:r>
        <w:rPr>
          <w:rFonts w:ascii="Times New Roman" w:hAnsi="Times New Roman" w:cs="Times New Roman"/>
          <w:color w:val="000000"/>
          <w:sz w:val="24"/>
          <w:szCs w:val="24"/>
          <w:lang w:val="en-US"/>
        </w:rPr>
        <w:t xml:space="preserve"> activity, </w:t>
      </w:r>
      <w:r w:rsidR="009103D0">
        <w:rPr>
          <w:rFonts w:ascii="Times New Roman" w:hAnsi="Times New Roman" w:cs="Times New Roman"/>
          <w:color w:val="000000"/>
          <w:sz w:val="24"/>
          <w:szCs w:val="24"/>
          <w:lang w:val="en-US"/>
        </w:rPr>
        <w:t>we construct t</w:t>
      </w:r>
      <w:r w:rsidR="00B82B45" w:rsidRPr="00234CE9">
        <w:rPr>
          <w:rFonts w:ascii="Times New Roman" w:hAnsi="Times New Roman" w:cs="Times New Roman"/>
          <w:color w:val="000000"/>
          <w:sz w:val="24"/>
          <w:szCs w:val="24"/>
          <w:lang w:val="en-US"/>
        </w:rPr>
        <w:t xml:space="preserve">he </w:t>
      </w:r>
      <w:r w:rsidR="004577CA">
        <w:rPr>
          <w:rFonts w:ascii="Times New Roman" w:hAnsi="Times New Roman" w:cs="Times New Roman"/>
          <w:color w:val="000000"/>
          <w:sz w:val="24"/>
          <w:szCs w:val="24"/>
          <w:lang w:val="en-US"/>
        </w:rPr>
        <w:t>b</w:t>
      </w:r>
      <w:r w:rsidR="00B82B45" w:rsidRPr="00234CE9">
        <w:rPr>
          <w:rFonts w:ascii="Times New Roman" w:hAnsi="Times New Roman" w:cs="Times New Roman"/>
          <w:color w:val="000000"/>
          <w:sz w:val="24"/>
          <w:szCs w:val="24"/>
          <w:lang w:val="en-US"/>
        </w:rPr>
        <w:t xml:space="preserve">usiness </w:t>
      </w:r>
      <w:r w:rsidR="004577CA">
        <w:rPr>
          <w:rFonts w:ascii="Times New Roman" w:hAnsi="Times New Roman" w:cs="Times New Roman"/>
          <w:color w:val="000000"/>
          <w:sz w:val="24"/>
          <w:szCs w:val="24"/>
          <w:lang w:val="en-US"/>
        </w:rPr>
        <w:t>c</w:t>
      </w:r>
      <w:r w:rsidR="00B82B45" w:rsidRPr="00234CE9">
        <w:rPr>
          <w:rFonts w:ascii="Times New Roman" w:hAnsi="Times New Roman" w:cs="Times New Roman"/>
          <w:color w:val="000000"/>
          <w:sz w:val="24"/>
          <w:szCs w:val="24"/>
          <w:lang w:val="en-US"/>
        </w:rPr>
        <w:t xml:space="preserve">limate </w:t>
      </w:r>
      <w:r w:rsidR="004577CA">
        <w:rPr>
          <w:rFonts w:ascii="Times New Roman" w:hAnsi="Times New Roman" w:cs="Times New Roman"/>
          <w:color w:val="000000"/>
          <w:sz w:val="24"/>
          <w:szCs w:val="24"/>
          <w:lang w:val="en-US"/>
        </w:rPr>
        <w:t>i</w:t>
      </w:r>
      <w:r w:rsidR="00B82B45" w:rsidRPr="00234CE9">
        <w:rPr>
          <w:rFonts w:ascii="Times New Roman" w:hAnsi="Times New Roman" w:cs="Times New Roman"/>
          <w:color w:val="000000"/>
          <w:sz w:val="24"/>
          <w:szCs w:val="24"/>
          <w:lang w:val="en-US"/>
        </w:rPr>
        <w:t xml:space="preserve">ndicator (BCI) according to the factor analyses </w:t>
      </w:r>
      <w:r w:rsidR="007F7E8D">
        <w:rPr>
          <w:rFonts w:ascii="Times New Roman" w:hAnsi="Times New Roman" w:cs="Times New Roman"/>
          <w:color w:val="000000"/>
          <w:sz w:val="24"/>
          <w:szCs w:val="24"/>
          <w:lang w:val="en-US"/>
        </w:rPr>
        <w:t xml:space="preserve">fundamentals </w:t>
      </w:r>
      <w:r w:rsidR="00303ACF" w:rsidRPr="00303ACF">
        <w:rPr>
          <w:rFonts w:ascii="Times New Roman" w:hAnsi="Times New Roman" w:cs="Times New Roman"/>
          <w:color w:val="000000"/>
          <w:sz w:val="24"/>
          <w:szCs w:val="24"/>
          <w:lang w:val="en-US"/>
        </w:rPr>
        <w:t>(principal component method)</w:t>
      </w:r>
      <w:r w:rsidR="00B82B45" w:rsidRPr="00234CE9">
        <w:rPr>
          <w:rFonts w:ascii="Times New Roman" w:hAnsi="Times New Roman" w:cs="Times New Roman"/>
          <w:color w:val="000000"/>
          <w:sz w:val="24"/>
          <w:szCs w:val="24"/>
          <w:lang w:val="en-US"/>
        </w:rPr>
        <w:t xml:space="preserve">. </w:t>
      </w:r>
      <w:r w:rsidR="00303ACF">
        <w:rPr>
          <w:rFonts w:ascii="Times New Roman" w:hAnsi="Times New Roman" w:cs="Times New Roman"/>
          <w:color w:val="000000"/>
          <w:sz w:val="24"/>
          <w:szCs w:val="24"/>
          <w:lang w:val="en-US"/>
        </w:rPr>
        <w:t>The</w:t>
      </w:r>
      <w:r w:rsidR="00B82B45" w:rsidRPr="00234CE9">
        <w:rPr>
          <w:rFonts w:ascii="Times New Roman" w:hAnsi="Times New Roman" w:cs="Times New Roman"/>
          <w:color w:val="000000"/>
          <w:sz w:val="24"/>
          <w:szCs w:val="24"/>
          <w:lang w:val="en-US"/>
        </w:rPr>
        <w:t xml:space="preserve"> </w:t>
      </w:r>
      <w:r w:rsidR="009103D0">
        <w:rPr>
          <w:rFonts w:ascii="Times New Roman" w:hAnsi="Times New Roman" w:cs="Times New Roman"/>
          <w:color w:val="000000"/>
          <w:sz w:val="24"/>
          <w:szCs w:val="24"/>
          <w:lang w:val="en-US"/>
        </w:rPr>
        <w:t>algorithm is</w:t>
      </w:r>
      <w:r w:rsidR="00303ACF" w:rsidRPr="00303ACF">
        <w:rPr>
          <w:rFonts w:ascii="Times New Roman" w:hAnsi="Times New Roman" w:cs="Times New Roman"/>
          <w:color w:val="000000"/>
          <w:sz w:val="24"/>
          <w:szCs w:val="24"/>
          <w:lang w:val="en-US"/>
        </w:rPr>
        <w:t xml:space="preserve"> </w:t>
      </w:r>
      <w:proofErr w:type="spellStart"/>
      <w:r w:rsidR="00303ACF" w:rsidRPr="00303ACF">
        <w:rPr>
          <w:rFonts w:ascii="Times New Roman" w:hAnsi="Times New Roman" w:cs="Times New Roman"/>
          <w:color w:val="000000"/>
          <w:sz w:val="24"/>
          <w:szCs w:val="24"/>
          <w:lang w:val="en-US"/>
        </w:rPr>
        <w:t>harmonised</w:t>
      </w:r>
      <w:proofErr w:type="spellEnd"/>
      <w:r w:rsidR="00303ACF" w:rsidRPr="00303ACF">
        <w:rPr>
          <w:rFonts w:ascii="Times New Roman" w:hAnsi="Times New Roman" w:cs="Times New Roman"/>
          <w:color w:val="000000"/>
          <w:sz w:val="24"/>
          <w:szCs w:val="24"/>
          <w:lang w:val="en-US"/>
        </w:rPr>
        <w:t xml:space="preserve"> with European recommendations </w:t>
      </w:r>
      <w:r w:rsidR="009103D0" w:rsidRPr="00234CE9">
        <w:rPr>
          <w:rFonts w:ascii="Times New Roman" w:hAnsi="Times New Roman" w:cs="Times New Roman"/>
          <w:color w:val="000000"/>
          <w:sz w:val="24"/>
          <w:szCs w:val="24"/>
          <w:lang w:val="en-US"/>
        </w:rPr>
        <w:t xml:space="preserve">[European Commission, 2017a, </w:t>
      </w:r>
      <w:r w:rsidR="009103D0">
        <w:rPr>
          <w:rFonts w:ascii="Times New Roman" w:hAnsi="Times New Roman" w:cs="Times New Roman"/>
          <w:color w:val="000000"/>
          <w:sz w:val="24"/>
          <w:szCs w:val="24"/>
          <w:lang w:val="en-US"/>
        </w:rPr>
        <w:t xml:space="preserve">2016, </w:t>
      </w:r>
      <w:r w:rsidR="009103D0" w:rsidRPr="00234CE9">
        <w:rPr>
          <w:rFonts w:ascii="Times New Roman" w:hAnsi="Times New Roman" w:cs="Times New Roman"/>
          <w:color w:val="000000"/>
          <w:sz w:val="24"/>
          <w:szCs w:val="24"/>
          <w:lang w:val="en-US"/>
        </w:rPr>
        <w:t>2000]</w:t>
      </w:r>
      <w:r w:rsidR="009103D0">
        <w:rPr>
          <w:rFonts w:ascii="Times New Roman" w:hAnsi="Times New Roman" w:cs="Times New Roman"/>
          <w:color w:val="000000"/>
          <w:sz w:val="24"/>
          <w:szCs w:val="24"/>
          <w:lang w:val="en-US"/>
        </w:rPr>
        <w:t>; the</w:t>
      </w:r>
      <w:r w:rsidR="009103D0" w:rsidRPr="009103D0">
        <w:rPr>
          <w:lang w:val="en-US"/>
        </w:rPr>
        <w:t xml:space="preserve"> </w:t>
      </w:r>
      <w:r w:rsidR="009103D0">
        <w:rPr>
          <w:rFonts w:ascii="Times New Roman" w:hAnsi="Times New Roman" w:cs="Times New Roman"/>
          <w:color w:val="000000"/>
          <w:sz w:val="24"/>
          <w:szCs w:val="24"/>
          <w:lang w:val="en-US"/>
        </w:rPr>
        <w:t xml:space="preserve">input series set </w:t>
      </w:r>
      <w:r w:rsidR="00B82B45" w:rsidRPr="00234CE9">
        <w:rPr>
          <w:rFonts w:ascii="Times New Roman" w:hAnsi="Times New Roman" w:cs="Times New Roman"/>
          <w:color w:val="000000"/>
          <w:sz w:val="24"/>
          <w:szCs w:val="24"/>
          <w:lang w:val="en-US"/>
        </w:rPr>
        <w:t>includes five balances</w:t>
      </w:r>
      <w:r w:rsidR="00303ACF" w:rsidRPr="00303ACF">
        <w:rPr>
          <w:rFonts w:ascii="Times New Roman" w:hAnsi="Times New Roman" w:cs="Times New Roman"/>
          <w:color w:val="000000"/>
          <w:sz w:val="24"/>
          <w:szCs w:val="24"/>
          <w:lang w:val="en-US"/>
        </w:rPr>
        <w:t xml:space="preserve"> </w:t>
      </w:r>
      <w:r w:rsidR="00303ACF">
        <w:rPr>
          <w:rFonts w:ascii="Times New Roman" w:hAnsi="Times New Roman" w:cs="Times New Roman"/>
          <w:color w:val="000000"/>
          <w:sz w:val="24"/>
          <w:szCs w:val="24"/>
          <w:lang w:val="en-US"/>
        </w:rPr>
        <w:t>(seasonal adjusted)</w:t>
      </w:r>
      <w:r w:rsidR="00B82B45" w:rsidRPr="00234CE9">
        <w:rPr>
          <w:rFonts w:ascii="Times New Roman" w:hAnsi="Times New Roman" w:cs="Times New Roman"/>
          <w:color w:val="000000"/>
          <w:sz w:val="24"/>
          <w:szCs w:val="24"/>
          <w:lang w:val="en-US"/>
        </w:rPr>
        <w:t xml:space="preserve">: </w:t>
      </w:r>
    </w:p>
    <w:p w:rsidR="00B82B45" w:rsidRPr="00234CE9" w:rsidRDefault="00B82B45" w:rsidP="00B82B45">
      <w:pPr>
        <w:numPr>
          <w:ilvl w:val="0"/>
          <w:numId w:val="8"/>
        </w:numPr>
        <w:spacing w:after="0" w:line="36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Business situation changes over the past quarter</w:t>
      </w:r>
      <w:r w:rsidRPr="00234CE9">
        <w:rPr>
          <w:rFonts w:ascii="Times New Roman" w:eastAsia="Times New Roman" w:hAnsi="Times New Roman" w:cs="Times New Roman"/>
          <w:sz w:val="24"/>
          <w:szCs w:val="24"/>
          <w:lang w:val="en-US" w:eastAsia="ru-RU"/>
        </w:rPr>
        <w:t>;</w:t>
      </w:r>
    </w:p>
    <w:p w:rsidR="00B82B45" w:rsidRPr="00234CE9" w:rsidRDefault="00B82B45" w:rsidP="00B82B45">
      <w:pPr>
        <w:numPr>
          <w:ilvl w:val="0"/>
          <w:numId w:val="8"/>
        </w:numPr>
        <w:spacing w:after="0" w:line="36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Demand for services changes over the past quarter</w:t>
      </w:r>
      <w:r w:rsidRPr="00234CE9">
        <w:rPr>
          <w:rFonts w:ascii="Times New Roman" w:eastAsia="Times New Roman" w:hAnsi="Times New Roman" w:cs="Times New Roman"/>
          <w:sz w:val="24"/>
          <w:szCs w:val="24"/>
          <w:lang w:val="en-US" w:eastAsia="ru-RU"/>
        </w:rPr>
        <w:t>;</w:t>
      </w:r>
    </w:p>
    <w:p w:rsidR="00B82B45" w:rsidRPr="00234CE9" w:rsidRDefault="00B82B45" w:rsidP="00B82B45">
      <w:pPr>
        <w:numPr>
          <w:ilvl w:val="0"/>
          <w:numId w:val="8"/>
        </w:numPr>
        <w:spacing w:after="0" w:line="36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Demand for services expectations over the next quarter</w:t>
      </w:r>
      <w:r w:rsidRPr="00234CE9">
        <w:rPr>
          <w:rFonts w:ascii="Times New Roman" w:eastAsia="Times New Roman" w:hAnsi="Times New Roman" w:cs="Times New Roman"/>
          <w:sz w:val="24"/>
          <w:szCs w:val="24"/>
          <w:lang w:val="en-US" w:eastAsia="ru-RU"/>
        </w:rPr>
        <w:t>;</w:t>
      </w:r>
    </w:p>
    <w:p w:rsidR="00B82B45" w:rsidRPr="00234CE9" w:rsidRDefault="00B82B45" w:rsidP="00B82B45">
      <w:pPr>
        <w:numPr>
          <w:ilvl w:val="0"/>
          <w:numId w:val="8"/>
        </w:numPr>
        <w:spacing w:after="0" w:line="36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Firm’s total employment changes over the past quarter</w:t>
      </w:r>
      <w:r w:rsidRPr="00234CE9">
        <w:rPr>
          <w:rFonts w:ascii="Times New Roman" w:eastAsia="Times New Roman" w:hAnsi="Times New Roman" w:cs="Times New Roman"/>
          <w:sz w:val="24"/>
          <w:szCs w:val="24"/>
          <w:lang w:val="en-US" w:eastAsia="ru-RU"/>
        </w:rPr>
        <w:t>;</w:t>
      </w:r>
    </w:p>
    <w:p w:rsidR="00B82B45" w:rsidRPr="00234CE9" w:rsidRDefault="00B82B45" w:rsidP="00B82B45">
      <w:pPr>
        <w:numPr>
          <w:ilvl w:val="0"/>
          <w:numId w:val="8"/>
        </w:numPr>
        <w:spacing w:after="0" w:line="36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Firm’s total employment expectations over the next quarter</w:t>
      </w:r>
      <w:r w:rsidRPr="00234CE9">
        <w:rPr>
          <w:rFonts w:ascii="Times New Roman" w:eastAsia="Times New Roman" w:hAnsi="Times New Roman" w:cs="Times New Roman"/>
          <w:sz w:val="24"/>
          <w:szCs w:val="24"/>
          <w:lang w:val="en-US" w:eastAsia="ru-RU"/>
        </w:rPr>
        <w:t>.</w:t>
      </w:r>
    </w:p>
    <w:p w:rsidR="004775C6" w:rsidRPr="004775C6" w:rsidRDefault="004775C6" w:rsidP="004775C6">
      <w:pPr>
        <w:spacing w:after="0" w:line="360" w:lineRule="auto"/>
        <w:ind w:firstLine="680"/>
        <w:jc w:val="both"/>
        <w:rPr>
          <w:rFonts w:ascii="Times New Roman" w:hAnsi="Times New Roman" w:cs="Times New Roman"/>
          <w:color w:val="000000"/>
          <w:sz w:val="24"/>
          <w:szCs w:val="24"/>
          <w:lang w:val="en-US"/>
        </w:rPr>
      </w:pPr>
      <w:r w:rsidRPr="004775C6">
        <w:rPr>
          <w:rFonts w:ascii="Times New Roman" w:hAnsi="Times New Roman" w:cs="Times New Roman"/>
          <w:color w:val="000000"/>
          <w:sz w:val="24"/>
          <w:szCs w:val="24"/>
          <w:lang w:val="en-US"/>
        </w:rPr>
        <w:t xml:space="preserve">To examine in more detail the relationship between </w:t>
      </w:r>
      <w:r w:rsidR="000E7450">
        <w:rPr>
          <w:rFonts w:ascii="Times New Roman" w:hAnsi="Times New Roman" w:cs="Times New Roman"/>
          <w:color w:val="000000"/>
          <w:sz w:val="24"/>
          <w:szCs w:val="24"/>
          <w:lang w:val="en-US"/>
        </w:rPr>
        <w:t xml:space="preserve">services BCI </w:t>
      </w:r>
      <w:r w:rsidRPr="004775C6">
        <w:rPr>
          <w:rFonts w:ascii="Times New Roman" w:hAnsi="Times New Roman" w:cs="Times New Roman"/>
          <w:color w:val="000000"/>
          <w:sz w:val="24"/>
          <w:szCs w:val="24"/>
          <w:lang w:val="en-US"/>
        </w:rPr>
        <w:t xml:space="preserve">and </w:t>
      </w:r>
      <w:r w:rsidR="000E7450">
        <w:rPr>
          <w:rFonts w:ascii="Times New Roman" w:hAnsi="Times New Roman" w:cs="Times New Roman"/>
          <w:color w:val="000000"/>
          <w:sz w:val="24"/>
          <w:szCs w:val="24"/>
          <w:lang w:val="en-US"/>
        </w:rPr>
        <w:t>reference s</w:t>
      </w:r>
      <w:r w:rsidR="009103D0">
        <w:rPr>
          <w:rFonts w:ascii="Times New Roman" w:hAnsi="Times New Roman" w:cs="Times New Roman"/>
          <w:color w:val="000000"/>
          <w:sz w:val="24"/>
          <w:szCs w:val="24"/>
          <w:lang w:val="en-US"/>
        </w:rPr>
        <w:t>eries</w:t>
      </w:r>
      <w:r w:rsidR="000E7450">
        <w:rPr>
          <w:rFonts w:ascii="Times New Roman" w:hAnsi="Times New Roman" w:cs="Times New Roman"/>
          <w:color w:val="000000"/>
          <w:sz w:val="24"/>
          <w:szCs w:val="24"/>
          <w:lang w:val="en-US"/>
        </w:rPr>
        <w:t xml:space="preserve">, namely, </w:t>
      </w:r>
      <w:r w:rsidRPr="004775C6">
        <w:rPr>
          <w:rFonts w:ascii="Times New Roman" w:hAnsi="Times New Roman" w:cs="Times New Roman"/>
          <w:color w:val="000000"/>
          <w:sz w:val="24"/>
          <w:szCs w:val="24"/>
          <w:lang w:val="en-US"/>
        </w:rPr>
        <w:t xml:space="preserve">GDP </w:t>
      </w:r>
      <w:r w:rsidR="00A134F1">
        <w:rPr>
          <w:rFonts w:ascii="Times New Roman" w:hAnsi="Times New Roman" w:cs="Times New Roman"/>
          <w:color w:val="000000"/>
          <w:sz w:val="24"/>
          <w:szCs w:val="24"/>
          <w:lang w:val="en-US"/>
        </w:rPr>
        <w:t>and</w:t>
      </w:r>
      <w:r w:rsidR="000E7450">
        <w:rPr>
          <w:rFonts w:ascii="Times New Roman" w:hAnsi="Times New Roman" w:cs="Times New Roman"/>
          <w:color w:val="000000"/>
          <w:sz w:val="24"/>
          <w:szCs w:val="24"/>
          <w:lang w:val="en-US"/>
        </w:rPr>
        <w:t xml:space="preserve"> services GVA</w:t>
      </w:r>
      <w:r w:rsidRPr="004775C6">
        <w:rPr>
          <w:rFonts w:ascii="Times New Roman" w:hAnsi="Times New Roman" w:cs="Times New Roman"/>
          <w:color w:val="000000"/>
          <w:sz w:val="24"/>
          <w:szCs w:val="24"/>
          <w:lang w:val="en-US"/>
        </w:rPr>
        <w:t xml:space="preserve">, </w:t>
      </w:r>
      <w:r w:rsidR="007F7E8D">
        <w:rPr>
          <w:rFonts w:ascii="Times New Roman" w:hAnsi="Times New Roman" w:cs="Times New Roman"/>
          <w:color w:val="000000"/>
          <w:sz w:val="24"/>
          <w:szCs w:val="24"/>
          <w:lang w:val="en-US"/>
        </w:rPr>
        <w:t xml:space="preserve">we used </w:t>
      </w:r>
      <w:r w:rsidRPr="004775C6">
        <w:rPr>
          <w:rFonts w:ascii="Times New Roman" w:hAnsi="Times New Roman" w:cs="Times New Roman"/>
          <w:color w:val="000000"/>
          <w:sz w:val="24"/>
          <w:szCs w:val="24"/>
          <w:lang w:val="en-US"/>
        </w:rPr>
        <w:t xml:space="preserve">the standard bivariate Vector </w:t>
      </w:r>
      <w:proofErr w:type="spellStart"/>
      <w:r w:rsidRPr="004775C6">
        <w:rPr>
          <w:rFonts w:ascii="Times New Roman" w:hAnsi="Times New Roman" w:cs="Times New Roman"/>
          <w:color w:val="000000"/>
          <w:sz w:val="24"/>
          <w:szCs w:val="24"/>
          <w:lang w:val="en-US"/>
        </w:rPr>
        <w:t>Autoregression</w:t>
      </w:r>
      <w:proofErr w:type="spellEnd"/>
      <w:r w:rsidRPr="004775C6">
        <w:rPr>
          <w:rFonts w:ascii="Times New Roman" w:hAnsi="Times New Roman" w:cs="Times New Roman"/>
          <w:color w:val="000000"/>
          <w:sz w:val="24"/>
          <w:szCs w:val="24"/>
          <w:lang w:val="en-US"/>
        </w:rPr>
        <w:t xml:space="preserve"> Model (VAR); the time series </w:t>
      </w:r>
      <w:proofErr w:type="gramStart"/>
      <w:r w:rsidR="007F7E8D">
        <w:rPr>
          <w:rFonts w:ascii="Times New Roman" w:hAnsi="Times New Roman" w:cs="Times New Roman"/>
          <w:color w:val="000000"/>
          <w:sz w:val="24"/>
          <w:szCs w:val="24"/>
          <w:lang w:val="en-US"/>
        </w:rPr>
        <w:t xml:space="preserve">are </w:t>
      </w:r>
      <w:r w:rsidRPr="004775C6">
        <w:rPr>
          <w:rFonts w:ascii="Times New Roman" w:hAnsi="Times New Roman" w:cs="Times New Roman"/>
          <w:color w:val="000000"/>
          <w:sz w:val="24"/>
          <w:szCs w:val="24"/>
          <w:lang w:val="en-US"/>
        </w:rPr>
        <w:t>tested</w:t>
      </w:r>
      <w:proofErr w:type="gramEnd"/>
      <w:r w:rsidRPr="004775C6">
        <w:rPr>
          <w:rFonts w:ascii="Times New Roman" w:hAnsi="Times New Roman" w:cs="Times New Roman"/>
          <w:color w:val="000000"/>
          <w:sz w:val="24"/>
          <w:szCs w:val="24"/>
          <w:lang w:val="en-US"/>
        </w:rPr>
        <w:t xml:space="preserve"> </w:t>
      </w:r>
      <w:r w:rsidR="004577CA" w:rsidRPr="004577CA">
        <w:rPr>
          <w:rFonts w:ascii="Times New Roman" w:hAnsi="Times New Roman" w:cs="Times New Roman"/>
          <w:color w:val="000000"/>
          <w:sz w:val="24"/>
          <w:szCs w:val="24"/>
          <w:lang w:val="en-US"/>
        </w:rPr>
        <w:t xml:space="preserve">preliminarily </w:t>
      </w:r>
      <w:r w:rsidRPr="004775C6">
        <w:rPr>
          <w:rFonts w:ascii="Times New Roman" w:hAnsi="Times New Roman" w:cs="Times New Roman"/>
          <w:color w:val="000000"/>
          <w:sz w:val="24"/>
          <w:szCs w:val="24"/>
          <w:lang w:val="en-US"/>
        </w:rPr>
        <w:t xml:space="preserve">for </w:t>
      </w:r>
      <w:proofErr w:type="spellStart"/>
      <w:r w:rsidRPr="004775C6">
        <w:rPr>
          <w:rFonts w:ascii="Times New Roman" w:hAnsi="Times New Roman" w:cs="Times New Roman"/>
          <w:color w:val="000000"/>
          <w:sz w:val="24"/>
          <w:szCs w:val="24"/>
          <w:lang w:val="en-US"/>
        </w:rPr>
        <w:t>stationarity</w:t>
      </w:r>
      <w:proofErr w:type="spellEnd"/>
      <w:r w:rsidRPr="004775C6">
        <w:rPr>
          <w:rFonts w:ascii="Times New Roman" w:hAnsi="Times New Roman" w:cs="Times New Roman"/>
          <w:color w:val="000000"/>
          <w:sz w:val="24"/>
          <w:szCs w:val="24"/>
          <w:lang w:val="en-US"/>
        </w:rPr>
        <w:t xml:space="preserve"> </w:t>
      </w:r>
      <w:r w:rsidR="00A134F1">
        <w:rPr>
          <w:rFonts w:ascii="Times New Roman" w:hAnsi="Times New Roman" w:cs="Times New Roman"/>
          <w:color w:val="000000"/>
          <w:sz w:val="24"/>
          <w:szCs w:val="24"/>
          <w:lang w:val="en-US"/>
        </w:rPr>
        <w:t>by</w:t>
      </w:r>
      <w:r w:rsidRPr="004775C6">
        <w:rPr>
          <w:rFonts w:ascii="Times New Roman" w:hAnsi="Times New Roman" w:cs="Times New Roman"/>
          <w:color w:val="000000"/>
          <w:sz w:val="24"/>
          <w:szCs w:val="24"/>
          <w:lang w:val="en-US"/>
        </w:rPr>
        <w:t xml:space="preserve"> the Augmented Dickey-Fuller (ADF) test. The VAR results were interpreted using the impulse response function (IRF).</w:t>
      </w:r>
    </w:p>
    <w:p w:rsidR="00976909" w:rsidRPr="00A46C4E" w:rsidRDefault="00A46C4E" w:rsidP="00A46C4E">
      <w:pPr>
        <w:keepNext/>
        <w:spacing w:before="240" w:after="120" w:line="360" w:lineRule="auto"/>
        <w:rPr>
          <w:rFonts w:ascii="Times New Roman" w:hAnsi="Times New Roman" w:cs="Times New Roman"/>
          <w:b/>
          <w:sz w:val="24"/>
          <w:szCs w:val="24"/>
          <w:lang w:val="en-US"/>
        </w:rPr>
      </w:pPr>
      <w:r w:rsidRPr="00A46C4E">
        <w:rPr>
          <w:rFonts w:ascii="Times New Roman" w:hAnsi="Times New Roman" w:cs="Times New Roman"/>
          <w:b/>
          <w:sz w:val="24"/>
          <w:szCs w:val="24"/>
          <w:lang w:val="en-US"/>
        </w:rPr>
        <w:t>Results</w:t>
      </w:r>
    </w:p>
    <w:p w:rsidR="00976909" w:rsidRDefault="00976909" w:rsidP="00EE3587">
      <w:pPr>
        <w:spacing w:after="0" w:line="360" w:lineRule="auto"/>
        <w:ind w:left="142" w:firstLine="709"/>
        <w:jc w:val="both"/>
        <w:rPr>
          <w:rFonts w:ascii="Times New Roman" w:eastAsia="Times New Roman" w:hAnsi="Times New Roman" w:cs="Times New Roman"/>
          <w:sz w:val="24"/>
          <w:szCs w:val="24"/>
          <w:lang w:val="en-US" w:eastAsia="ru-RU"/>
        </w:rPr>
      </w:pPr>
      <w:r w:rsidRPr="00976909">
        <w:rPr>
          <w:rFonts w:ascii="Times New Roman" w:eastAsia="Times New Roman" w:hAnsi="Times New Roman" w:cs="Times New Roman"/>
          <w:sz w:val="24"/>
          <w:szCs w:val="24"/>
          <w:lang w:val="en-US" w:eastAsia="ru-RU"/>
        </w:rPr>
        <w:t xml:space="preserve">Consider the basic information capabilities of the services </w:t>
      </w:r>
      <w:r>
        <w:rPr>
          <w:rFonts w:ascii="Times New Roman" w:eastAsia="Times New Roman" w:hAnsi="Times New Roman" w:cs="Times New Roman"/>
          <w:sz w:val="24"/>
          <w:szCs w:val="24"/>
          <w:lang w:val="en-US" w:eastAsia="ru-RU"/>
        </w:rPr>
        <w:t xml:space="preserve">BTS according </w:t>
      </w:r>
      <w:r w:rsidRPr="00976909">
        <w:rPr>
          <w:rFonts w:ascii="Times New Roman" w:eastAsia="Times New Roman" w:hAnsi="Times New Roman" w:cs="Times New Roman"/>
          <w:sz w:val="24"/>
          <w:szCs w:val="24"/>
          <w:lang w:val="en-US" w:eastAsia="ru-RU"/>
        </w:rPr>
        <w:t xml:space="preserve">the results </w:t>
      </w:r>
      <w:r>
        <w:rPr>
          <w:rFonts w:ascii="Times New Roman" w:eastAsia="Times New Roman" w:hAnsi="Times New Roman" w:cs="Times New Roman"/>
          <w:sz w:val="24"/>
          <w:szCs w:val="24"/>
          <w:lang w:val="en-US" w:eastAsia="ru-RU"/>
        </w:rPr>
        <w:t>accumulated by the end of 2017</w:t>
      </w:r>
      <w:r w:rsidRPr="00976909">
        <w:rPr>
          <w:rFonts w:ascii="Times New Roman" w:eastAsia="Times New Roman" w:hAnsi="Times New Roman" w:cs="Times New Roman"/>
          <w:sz w:val="24"/>
          <w:szCs w:val="24"/>
          <w:lang w:val="en-US" w:eastAsia="ru-RU"/>
        </w:rPr>
        <w:t>.</w:t>
      </w:r>
    </w:p>
    <w:p w:rsidR="00976909" w:rsidRPr="000E7450" w:rsidRDefault="00A46C4E" w:rsidP="00976909">
      <w:pPr>
        <w:spacing w:after="0" w:line="360" w:lineRule="auto"/>
        <w:ind w:left="142" w:firstLine="709"/>
        <w:jc w:val="both"/>
        <w:rPr>
          <w:rFonts w:ascii="Times New Roman" w:eastAsia="Times New Roman" w:hAnsi="Times New Roman" w:cs="Times New Roman"/>
          <w:i/>
          <w:sz w:val="24"/>
          <w:szCs w:val="24"/>
          <w:lang w:val="en-US" w:eastAsia="ru-RU"/>
        </w:rPr>
      </w:pPr>
      <w:r w:rsidRPr="000E7450">
        <w:rPr>
          <w:rFonts w:ascii="Times New Roman" w:eastAsia="Times New Roman" w:hAnsi="Times New Roman" w:cs="Times New Roman"/>
          <w:i/>
          <w:sz w:val="24"/>
          <w:szCs w:val="24"/>
          <w:lang w:val="en-US" w:eastAsia="ru-RU"/>
        </w:rPr>
        <w:t xml:space="preserve">Recent development </w:t>
      </w:r>
      <w:r w:rsidR="00976909" w:rsidRPr="000E7450">
        <w:rPr>
          <w:rFonts w:ascii="Times New Roman" w:eastAsia="Times New Roman" w:hAnsi="Times New Roman" w:cs="Times New Roman"/>
          <w:i/>
          <w:sz w:val="24"/>
          <w:szCs w:val="24"/>
          <w:lang w:val="en-US" w:eastAsia="ru-RU"/>
        </w:rPr>
        <w:t xml:space="preserve">in the </w:t>
      </w:r>
      <w:r w:rsidRPr="000E7450">
        <w:rPr>
          <w:rFonts w:ascii="Times New Roman" w:eastAsia="Times New Roman" w:hAnsi="Times New Roman" w:cs="Times New Roman"/>
          <w:i/>
          <w:sz w:val="24"/>
          <w:szCs w:val="24"/>
          <w:lang w:val="en-US" w:eastAsia="ru-RU"/>
        </w:rPr>
        <w:t xml:space="preserve">Russian </w:t>
      </w:r>
      <w:r w:rsidR="00976909" w:rsidRPr="000E7450">
        <w:rPr>
          <w:rFonts w:ascii="Times New Roman" w:eastAsia="Times New Roman" w:hAnsi="Times New Roman" w:cs="Times New Roman"/>
          <w:i/>
          <w:sz w:val="24"/>
          <w:szCs w:val="24"/>
          <w:lang w:val="en-US" w:eastAsia="ru-RU"/>
        </w:rPr>
        <w:t>service sector</w:t>
      </w:r>
    </w:p>
    <w:p w:rsidR="00976909" w:rsidRDefault="00976909" w:rsidP="00976909">
      <w:pPr>
        <w:spacing w:after="0" w:line="360" w:lineRule="auto"/>
        <w:ind w:left="142" w:firstLine="709"/>
        <w:jc w:val="both"/>
        <w:rPr>
          <w:rFonts w:ascii="Times New Roman" w:eastAsia="Times New Roman" w:hAnsi="Times New Roman" w:cs="Times New Roman"/>
          <w:sz w:val="24"/>
          <w:szCs w:val="24"/>
          <w:lang w:val="en-US" w:eastAsia="ru-RU"/>
        </w:rPr>
      </w:pPr>
      <w:r w:rsidRPr="00976909">
        <w:rPr>
          <w:rFonts w:ascii="Times New Roman" w:eastAsia="Times New Roman" w:hAnsi="Times New Roman" w:cs="Times New Roman"/>
          <w:sz w:val="24"/>
          <w:szCs w:val="24"/>
          <w:lang w:val="en-US" w:eastAsia="ru-RU"/>
        </w:rPr>
        <w:t xml:space="preserve">The </w:t>
      </w:r>
      <w:r w:rsidR="00A46C4E" w:rsidRPr="00976909">
        <w:rPr>
          <w:rFonts w:ascii="Times New Roman" w:eastAsia="Times New Roman" w:hAnsi="Times New Roman" w:cs="Times New Roman"/>
          <w:sz w:val="24"/>
          <w:szCs w:val="24"/>
          <w:lang w:val="en-US" w:eastAsia="ru-RU"/>
        </w:rPr>
        <w:t>survey’s</w:t>
      </w:r>
      <w:r w:rsidRPr="00976909">
        <w:rPr>
          <w:rFonts w:ascii="Times New Roman" w:eastAsia="Times New Roman" w:hAnsi="Times New Roman" w:cs="Times New Roman"/>
          <w:sz w:val="24"/>
          <w:szCs w:val="24"/>
          <w:lang w:val="en-US" w:eastAsia="ru-RU"/>
        </w:rPr>
        <w:t xml:space="preserve"> result</w:t>
      </w:r>
      <w:r w:rsidR="000018A2">
        <w:rPr>
          <w:rFonts w:ascii="Times New Roman" w:eastAsia="Times New Roman" w:hAnsi="Times New Roman" w:cs="Times New Roman"/>
          <w:sz w:val="24"/>
          <w:szCs w:val="24"/>
          <w:lang w:val="en-US" w:eastAsia="ru-RU"/>
        </w:rPr>
        <w:t>s show a stable five-year trend of</w:t>
      </w:r>
      <w:r w:rsidRPr="00976909">
        <w:rPr>
          <w:rFonts w:ascii="Times New Roman" w:eastAsia="Times New Roman" w:hAnsi="Times New Roman" w:cs="Times New Roman"/>
          <w:sz w:val="24"/>
          <w:szCs w:val="24"/>
          <w:lang w:val="en-US" w:eastAsia="ru-RU"/>
        </w:rPr>
        <w:t xml:space="preserve"> "pessimism</w:t>
      </w:r>
      <w:r w:rsidR="00A46C4E" w:rsidRPr="00A46C4E">
        <w:rPr>
          <w:lang w:val="en-US"/>
        </w:rPr>
        <w:t xml:space="preserve"> </w:t>
      </w:r>
      <w:r w:rsidR="00A46C4E" w:rsidRPr="00A46C4E">
        <w:rPr>
          <w:rFonts w:ascii="Times New Roman" w:eastAsia="Times New Roman" w:hAnsi="Times New Roman" w:cs="Times New Roman"/>
          <w:sz w:val="24"/>
          <w:szCs w:val="24"/>
          <w:lang w:val="en-US" w:eastAsia="ru-RU"/>
        </w:rPr>
        <w:t>accumulation</w:t>
      </w:r>
      <w:r w:rsidRPr="009769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in </w:t>
      </w:r>
      <w:r w:rsidRPr="00976909">
        <w:rPr>
          <w:rFonts w:ascii="Times New Roman" w:eastAsia="Times New Roman" w:hAnsi="Times New Roman" w:cs="Times New Roman"/>
          <w:sz w:val="24"/>
          <w:szCs w:val="24"/>
          <w:lang w:val="en-US" w:eastAsia="ru-RU"/>
        </w:rPr>
        <w:t xml:space="preserve">the main indicators </w:t>
      </w:r>
      <w:r w:rsidR="00A46C4E" w:rsidRPr="00A46C4E">
        <w:rPr>
          <w:rFonts w:ascii="Times New Roman" w:eastAsia="Times New Roman" w:hAnsi="Times New Roman" w:cs="Times New Roman"/>
          <w:sz w:val="24"/>
          <w:szCs w:val="24"/>
          <w:lang w:val="en-US" w:eastAsia="ru-RU"/>
        </w:rPr>
        <w:t>dynamics</w:t>
      </w:r>
      <w:r>
        <w:rPr>
          <w:rFonts w:ascii="Times New Roman" w:eastAsia="Times New Roman" w:hAnsi="Times New Roman" w:cs="Times New Roman"/>
          <w:sz w:val="24"/>
          <w:szCs w:val="24"/>
          <w:lang w:val="en-US" w:eastAsia="ru-RU"/>
        </w:rPr>
        <w:t xml:space="preserve"> </w:t>
      </w:r>
      <w:r w:rsidR="004E69F4">
        <w:rPr>
          <w:rFonts w:ascii="Times New Roman" w:eastAsia="Times New Roman" w:hAnsi="Times New Roman" w:cs="Times New Roman"/>
          <w:sz w:val="24"/>
          <w:szCs w:val="24"/>
          <w:lang w:val="en-US" w:eastAsia="ru-RU"/>
        </w:rPr>
        <w:t xml:space="preserve">since </w:t>
      </w:r>
      <w:r>
        <w:rPr>
          <w:rFonts w:ascii="Times New Roman" w:eastAsia="Times New Roman" w:hAnsi="Times New Roman" w:cs="Times New Roman"/>
          <w:sz w:val="24"/>
          <w:szCs w:val="24"/>
          <w:lang w:val="en-US" w:eastAsia="ru-RU"/>
        </w:rPr>
        <w:t>2013</w:t>
      </w:r>
      <w:r w:rsidRPr="0097690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They </w:t>
      </w:r>
      <w:r w:rsidRPr="00976909">
        <w:rPr>
          <w:rFonts w:ascii="Times New Roman" w:eastAsia="Times New Roman" w:hAnsi="Times New Roman" w:cs="Times New Roman"/>
          <w:sz w:val="24"/>
          <w:szCs w:val="24"/>
          <w:lang w:val="en-US" w:eastAsia="ru-RU"/>
        </w:rPr>
        <w:t xml:space="preserve">reflect the weak and volatile demand for services, the deterioration </w:t>
      </w:r>
      <w:r w:rsidR="004E69F4">
        <w:rPr>
          <w:rFonts w:ascii="Times New Roman" w:eastAsia="Times New Roman" w:hAnsi="Times New Roman" w:cs="Times New Roman"/>
          <w:sz w:val="24"/>
          <w:szCs w:val="24"/>
          <w:lang w:val="en-US" w:eastAsia="ru-RU"/>
        </w:rPr>
        <w:t>in</w:t>
      </w:r>
      <w:r w:rsidRPr="00976909">
        <w:rPr>
          <w:rFonts w:ascii="Times New Roman" w:eastAsia="Times New Roman" w:hAnsi="Times New Roman" w:cs="Times New Roman"/>
          <w:sz w:val="24"/>
          <w:szCs w:val="24"/>
          <w:lang w:val="en-US" w:eastAsia="ru-RU"/>
        </w:rPr>
        <w:t xml:space="preserve"> production and financial performance of service organizations and</w:t>
      </w:r>
      <w:r w:rsidR="004E69F4">
        <w:rPr>
          <w:rFonts w:ascii="Times New Roman" w:eastAsia="Times New Roman" w:hAnsi="Times New Roman" w:cs="Times New Roman"/>
          <w:sz w:val="24"/>
          <w:szCs w:val="24"/>
          <w:lang w:val="en-US" w:eastAsia="ru-RU"/>
        </w:rPr>
        <w:t>,</w:t>
      </w:r>
      <w:r w:rsidRPr="00976909">
        <w:rPr>
          <w:rFonts w:ascii="Times New Roman" w:eastAsia="Times New Roman" w:hAnsi="Times New Roman" w:cs="Times New Roman"/>
          <w:sz w:val="24"/>
          <w:szCs w:val="24"/>
          <w:lang w:val="en-US" w:eastAsia="ru-RU"/>
        </w:rPr>
        <w:t xml:space="preserve"> generally </w:t>
      </w:r>
      <w:r w:rsidR="00F02F56">
        <w:rPr>
          <w:rFonts w:ascii="Times New Roman" w:eastAsia="Times New Roman" w:hAnsi="Times New Roman" w:cs="Times New Roman"/>
          <w:sz w:val="24"/>
          <w:szCs w:val="24"/>
          <w:lang w:val="en-US" w:eastAsia="ru-RU"/>
        </w:rPr>
        <w:t>speaking</w:t>
      </w:r>
      <w:r w:rsidR="004E69F4">
        <w:rPr>
          <w:rFonts w:ascii="Times New Roman" w:eastAsia="Times New Roman" w:hAnsi="Times New Roman" w:cs="Times New Roman"/>
          <w:sz w:val="24"/>
          <w:szCs w:val="24"/>
          <w:lang w:val="en-US" w:eastAsia="ru-RU"/>
        </w:rPr>
        <w:t>,</w:t>
      </w:r>
      <w:r w:rsidR="00F02F56">
        <w:rPr>
          <w:rFonts w:ascii="Times New Roman" w:eastAsia="Times New Roman" w:hAnsi="Times New Roman" w:cs="Times New Roman"/>
          <w:sz w:val="24"/>
          <w:szCs w:val="24"/>
          <w:lang w:val="en-US" w:eastAsia="ru-RU"/>
        </w:rPr>
        <w:t xml:space="preserve"> </w:t>
      </w:r>
      <w:r w:rsidR="000018A2" w:rsidRPr="000018A2">
        <w:rPr>
          <w:rFonts w:ascii="Times New Roman" w:eastAsia="Times New Roman" w:hAnsi="Times New Roman" w:cs="Times New Roman"/>
          <w:sz w:val="24"/>
          <w:szCs w:val="24"/>
          <w:lang w:val="en-US" w:eastAsia="ru-RU"/>
        </w:rPr>
        <w:t xml:space="preserve">the </w:t>
      </w:r>
      <w:r w:rsidR="00F02F56">
        <w:rPr>
          <w:rFonts w:ascii="Times New Roman" w:eastAsia="Times New Roman" w:hAnsi="Times New Roman" w:cs="Times New Roman"/>
          <w:sz w:val="24"/>
          <w:szCs w:val="24"/>
          <w:lang w:val="en-US" w:eastAsia="ru-RU"/>
        </w:rPr>
        <w:t xml:space="preserve">unfavorable </w:t>
      </w:r>
      <w:r w:rsidRPr="00976909">
        <w:rPr>
          <w:rFonts w:ascii="Times New Roman" w:eastAsia="Times New Roman" w:hAnsi="Times New Roman" w:cs="Times New Roman"/>
          <w:sz w:val="24"/>
          <w:szCs w:val="24"/>
          <w:lang w:val="en-US" w:eastAsia="ru-RU"/>
        </w:rPr>
        <w:t>business climate in this sector of the economy. The Russian service market continue</w:t>
      </w:r>
      <w:r w:rsidR="004E69F4">
        <w:rPr>
          <w:rFonts w:ascii="Times New Roman" w:eastAsia="Times New Roman" w:hAnsi="Times New Roman" w:cs="Times New Roman"/>
          <w:sz w:val="24"/>
          <w:szCs w:val="24"/>
          <w:lang w:val="en-US" w:eastAsia="ru-RU"/>
        </w:rPr>
        <w:t>s</w:t>
      </w:r>
      <w:r w:rsidRPr="00976909">
        <w:rPr>
          <w:rFonts w:ascii="Times New Roman" w:eastAsia="Times New Roman" w:hAnsi="Times New Roman" w:cs="Times New Roman"/>
          <w:sz w:val="24"/>
          <w:szCs w:val="24"/>
          <w:lang w:val="en-US" w:eastAsia="ru-RU"/>
        </w:rPr>
        <w:t xml:space="preserve"> to function under conditions of stagnant </w:t>
      </w:r>
      <w:r w:rsidR="00F02F56">
        <w:rPr>
          <w:rFonts w:ascii="Times New Roman" w:eastAsia="Times New Roman" w:hAnsi="Times New Roman" w:cs="Times New Roman"/>
          <w:sz w:val="24"/>
          <w:szCs w:val="24"/>
          <w:lang w:val="en-US" w:eastAsia="ru-RU"/>
        </w:rPr>
        <w:t>economy.</w:t>
      </w:r>
    </w:p>
    <w:p w:rsidR="00221BEC" w:rsidRPr="00221BEC" w:rsidRDefault="00F02F56" w:rsidP="00221BEC">
      <w:pPr>
        <w:spacing w:after="0" w:line="360" w:lineRule="auto"/>
        <w:ind w:left="142" w:firstLine="709"/>
        <w:jc w:val="both"/>
        <w:rPr>
          <w:rFonts w:ascii="Times New Roman" w:eastAsia="Times New Roman" w:hAnsi="Times New Roman" w:cs="Times New Roman"/>
          <w:sz w:val="24"/>
          <w:szCs w:val="24"/>
          <w:lang w:val="en-US" w:eastAsia="ru-RU"/>
        </w:rPr>
      </w:pPr>
      <w:r w:rsidRPr="00F02F56">
        <w:rPr>
          <w:rFonts w:ascii="Times New Roman" w:eastAsia="Times New Roman" w:hAnsi="Times New Roman" w:cs="Times New Roman"/>
          <w:sz w:val="24"/>
          <w:szCs w:val="24"/>
          <w:lang w:val="en-US" w:eastAsia="ru-RU"/>
        </w:rPr>
        <w:t xml:space="preserve">The movement of the main composite indicator of the survey </w:t>
      </w:r>
      <w:r w:rsidR="000018A2">
        <w:rPr>
          <w:rFonts w:ascii="Times New Roman" w:eastAsia="Times New Roman" w:hAnsi="Times New Roman" w:cs="Times New Roman"/>
          <w:sz w:val="24"/>
          <w:szCs w:val="24"/>
          <w:lang w:val="en-US" w:eastAsia="ru-RU"/>
        </w:rPr>
        <w:t>–</w:t>
      </w:r>
      <w:r w:rsidRPr="00F02F56">
        <w:rPr>
          <w:rFonts w:ascii="Times New Roman" w:eastAsia="Times New Roman" w:hAnsi="Times New Roman" w:cs="Times New Roman"/>
          <w:sz w:val="24"/>
          <w:szCs w:val="24"/>
          <w:lang w:val="en-US" w:eastAsia="ru-RU"/>
        </w:rPr>
        <w:t xml:space="preserve"> a seasonally adjusted </w:t>
      </w:r>
      <w:r w:rsidRPr="00786594">
        <w:rPr>
          <w:rFonts w:ascii="Times New Roman" w:eastAsia="Times New Roman" w:hAnsi="Times New Roman" w:cs="Times New Roman"/>
          <w:i/>
          <w:sz w:val="24"/>
          <w:szCs w:val="24"/>
          <w:lang w:val="en-US" w:eastAsia="ru-RU"/>
        </w:rPr>
        <w:t>confidence indicator</w:t>
      </w:r>
      <w:r>
        <w:rPr>
          <w:rFonts w:ascii="Times New Roman" w:eastAsia="Times New Roman" w:hAnsi="Times New Roman" w:cs="Times New Roman"/>
          <w:sz w:val="24"/>
          <w:szCs w:val="24"/>
          <w:lang w:val="en-US" w:eastAsia="ru-RU"/>
        </w:rPr>
        <w:t xml:space="preserve"> – </w:t>
      </w:r>
      <w:r w:rsidR="000018A2">
        <w:rPr>
          <w:rFonts w:ascii="Times New Roman" w:eastAsia="Times New Roman" w:hAnsi="Times New Roman" w:cs="Times New Roman"/>
          <w:sz w:val="24"/>
          <w:szCs w:val="24"/>
          <w:lang w:val="en-US" w:eastAsia="ru-RU"/>
        </w:rPr>
        <w:t>is</w:t>
      </w:r>
      <w:r w:rsidRPr="00F02F56">
        <w:rPr>
          <w:rFonts w:ascii="Times New Roman" w:eastAsia="Times New Roman" w:hAnsi="Times New Roman" w:cs="Times New Roman"/>
          <w:sz w:val="24"/>
          <w:szCs w:val="24"/>
          <w:lang w:val="en-US" w:eastAsia="ru-RU"/>
        </w:rPr>
        <w:t xml:space="preserve"> clearly downward, with a slight </w:t>
      </w:r>
      <w:r w:rsidR="004577CA" w:rsidRPr="004577CA">
        <w:rPr>
          <w:rFonts w:ascii="Times New Roman" w:eastAsia="Times New Roman" w:hAnsi="Times New Roman" w:cs="Times New Roman"/>
          <w:sz w:val="24"/>
          <w:szCs w:val="24"/>
          <w:lang w:val="en-US" w:eastAsia="ru-RU"/>
        </w:rPr>
        <w:t>improvement in early 2016.</w:t>
      </w:r>
      <w:r>
        <w:rPr>
          <w:rFonts w:ascii="Times New Roman" w:eastAsia="Times New Roman" w:hAnsi="Times New Roman" w:cs="Times New Roman"/>
          <w:sz w:val="24"/>
          <w:szCs w:val="24"/>
          <w:lang w:val="en-US" w:eastAsia="ru-RU"/>
        </w:rPr>
        <w:t xml:space="preserve"> T</w:t>
      </w:r>
      <w:r w:rsidRPr="00F02F56">
        <w:rPr>
          <w:rFonts w:ascii="Times New Roman" w:eastAsia="Times New Roman" w:hAnsi="Times New Roman" w:cs="Times New Roman"/>
          <w:sz w:val="24"/>
          <w:szCs w:val="24"/>
          <w:lang w:val="en-US" w:eastAsia="ru-RU"/>
        </w:rPr>
        <w:t xml:space="preserve">he subsequent increase in entrepreneurial optimism did not result in </w:t>
      </w:r>
      <w:r w:rsidR="00221BEC">
        <w:rPr>
          <w:rFonts w:ascii="Times New Roman" w:eastAsia="Times New Roman" w:hAnsi="Times New Roman" w:cs="Times New Roman"/>
          <w:sz w:val="24"/>
          <w:szCs w:val="24"/>
          <w:lang w:val="en-US" w:eastAsia="ru-RU"/>
        </w:rPr>
        <w:t xml:space="preserve">moving </w:t>
      </w:r>
      <w:r w:rsidRPr="00F02F56">
        <w:rPr>
          <w:rFonts w:ascii="Times New Roman" w:eastAsia="Times New Roman" w:hAnsi="Times New Roman" w:cs="Times New Roman"/>
          <w:sz w:val="24"/>
          <w:szCs w:val="24"/>
          <w:lang w:val="en-US" w:eastAsia="ru-RU"/>
        </w:rPr>
        <w:t xml:space="preserve">confidence </w:t>
      </w:r>
      <w:r w:rsidR="00221BEC">
        <w:rPr>
          <w:rFonts w:ascii="Times New Roman" w:eastAsia="Times New Roman" w:hAnsi="Times New Roman" w:cs="Times New Roman"/>
          <w:sz w:val="24"/>
          <w:szCs w:val="24"/>
          <w:lang w:val="en-US" w:eastAsia="ru-RU"/>
        </w:rPr>
        <w:t>to</w:t>
      </w:r>
      <w:r w:rsidRPr="00F02F56">
        <w:rPr>
          <w:rFonts w:ascii="Times New Roman" w:eastAsia="Times New Roman" w:hAnsi="Times New Roman" w:cs="Times New Roman"/>
          <w:sz w:val="24"/>
          <w:szCs w:val="24"/>
          <w:lang w:val="en-US" w:eastAsia="ru-RU"/>
        </w:rPr>
        <w:t xml:space="preserve"> </w:t>
      </w:r>
      <w:r w:rsidR="005567A0">
        <w:rPr>
          <w:rFonts w:ascii="Times New Roman" w:eastAsia="Times New Roman" w:hAnsi="Times New Roman" w:cs="Times New Roman"/>
          <w:sz w:val="24"/>
          <w:szCs w:val="24"/>
          <w:lang w:val="en-US" w:eastAsia="ru-RU"/>
        </w:rPr>
        <w:t>a</w:t>
      </w:r>
      <w:r w:rsidRPr="00F02F56">
        <w:rPr>
          <w:rFonts w:ascii="Times New Roman" w:eastAsia="Times New Roman" w:hAnsi="Times New Roman" w:cs="Times New Roman"/>
          <w:sz w:val="24"/>
          <w:szCs w:val="24"/>
          <w:lang w:val="en-US" w:eastAsia="ru-RU"/>
        </w:rPr>
        <w:t xml:space="preserve"> positive zone. The indicator </w:t>
      </w:r>
      <w:r w:rsidR="000018A2" w:rsidRPr="000018A2">
        <w:rPr>
          <w:rFonts w:ascii="Times New Roman" w:eastAsia="Times New Roman" w:hAnsi="Times New Roman" w:cs="Times New Roman"/>
          <w:sz w:val="24"/>
          <w:szCs w:val="24"/>
          <w:lang w:val="en-US" w:eastAsia="ru-RU"/>
        </w:rPr>
        <w:t xml:space="preserve">values </w:t>
      </w:r>
      <w:r w:rsidR="00D65767">
        <w:rPr>
          <w:rFonts w:ascii="Times New Roman" w:eastAsia="Times New Roman" w:hAnsi="Times New Roman" w:cs="Times New Roman"/>
          <w:sz w:val="24"/>
          <w:szCs w:val="24"/>
          <w:lang w:val="en-US" w:eastAsia="ru-RU"/>
        </w:rPr>
        <w:t>in</w:t>
      </w:r>
      <w:r w:rsidRPr="00F02F56">
        <w:rPr>
          <w:rFonts w:ascii="Times New Roman" w:eastAsia="Times New Roman" w:hAnsi="Times New Roman" w:cs="Times New Roman"/>
          <w:sz w:val="24"/>
          <w:szCs w:val="24"/>
          <w:lang w:val="en-US" w:eastAsia="ru-RU"/>
        </w:rPr>
        <w:t xml:space="preserve"> 2017 </w:t>
      </w:r>
      <w:r w:rsidR="000018A2">
        <w:rPr>
          <w:rFonts w:ascii="Times New Roman" w:eastAsia="Times New Roman" w:hAnsi="Times New Roman" w:cs="Times New Roman"/>
          <w:sz w:val="24"/>
          <w:szCs w:val="24"/>
          <w:lang w:val="en-US" w:eastAsia="ru-RU"/>
        </w:rPr>
        <w:t>are</w:t>
      </w:r>
      <w:r w:rsidR="00221BEC">
        <w:rPr>
          <w:rFonts w:ascii="Times New Roman" w:eastAsia="Times New Roman" w:hAnsi="Times New Roman" w:cs="Times New Roman"/>
          <w:sz w:val="24"/>
          <w:szCs w:val="24"/>
          <w:lang w:val="en-US" w:eastAsia="ru-RU"/>
        </w:rPr>
        <w:t xml:space="preserve"> consistently </w:t>
      </w:r>
      <w:r w:rsidRPr="00F02F56">
        <w:rPr>
          <w:rFonts w:ascii="Times New Roman" w:eastAsia="Times New Roman" w:hAnsi="Times New Roman" w:cs="Times New Roman"/>
          <w:sz w:val="24"/>
          <w:szCs w:val="24"/>
          <w:lang w:val="en-US" w:eastAsia="ru-RU"/>
        </w:rPr>
        <w:t>below zero</w:t>
      </w:r>
      <w:r w:rsidR="00221BEC" w:rsidRPr="00221BEC">
        <w:rPr>
          <w:lang w:val="en-US"/>
        </w:rPr>
        <w:t xml:space="preserve"> </w:t>
      </w:r>
      <w:r w:rsidR="00221BEC" w:rsidRPr="00221BEC">
        <w:rPr>
          <w:rFonts w:ascii="Times New Roman" w:eastAsia="Times New Roman" w:hAnsi="Times New Roman" w:cs="Times New Roman"/>
          <w:sz w:val="24"/>
          <w:szCs w:val="24"/>
          <w:lang w:val="en-US" w:eastAsia="ru-RU"/>
        </w:rPr>
        <w:t>at 4</w:t>
      </w:r>
      <w:r w:rsidR="00D65767">
        <w:rPr>
          <w:rFonts w:ascii="Times New Roman" w:eastAsia="Times New Roman" w:hAnsi="Times New Roman" w:cs="Times New Roman"/>
          <w:sz w:val="24"/>
          <w:szCs w:val="24"/>
          <w:lang w:val="en-US" w:eastAsia="ru-RU"/>
        </w:rPr>
        <w:t> </w:t>
      </w:r>
      <w:r w:rsidR="00221BEC" w:rsidRPr="00221BEC">
        <w:rPr>
          <w:rFonts w:ascii="Times New Roman" w:eastAsia="Times New Roman" w:hAnsi="Times New Roman" w:cs="Times New Roman"/>
          <w:sz w:val="24"/>
          <w:szCs w:val="24"/>
          <w:lang w:val="en-US" w:eastAsia="ru-RU"/>
        </w:rPr>
        <w:t>percentage points</w:t>
      </w:r>
      <w:r w:rsidR="000018A2">
        <w:rPr>
          <w:rFonts w:ascii="Times New Roman" w:eastAsia="Times New Roman" w:hAnsi="Times New Roman" w:cs="Times New Roman"/>
          <w:sz w:val="24"/>
          <w:szCs w:val="24"/>
          <w:lang w:val="en-US" w:eastAsia="ru-RU"/>
        </w:rPr>
        <w:t xml:space="preserve"> (see </w:t>
      </w:r>
      <w:r w:rsidR="00221BEC" w:rsidRPr="00221BEC">
        <w:rPr>
          <w:rFonts w:ascii="Times New Roman" w:eastAsia="Times New Roman" w:hAnsi="Times New Roman" w:cs="Times New Roman"/>
          <w:sz w:val="24"/>
          <w:szCs w:val="24"/>
          <w:lang w:val="en-US" w:eastAsia="ru-RU"/>
        </w:rPr>
        <w:t>Fig. 1</w:t>
      </w:r>
      <w:r w:rsidR="000018A2">
        <w:rPr>
          <w:rFonts w:ascii="Times New Roman" w:eastAsia="Times New Roman" w:hAnsi="Times New Roman" w:cs="Times New Roman"/>
          <w:sz w:val="24"/>
          <w:szCs w:val="24"/>
          <w:lang w:val="en-US" w:eastAsia="ru-RU"/>
        </w:rPr>
        <w:t>)</w:t>
      </w:r>
      <w:r w:rsidR="00221BEC" w:rsidRPr="00221BEC">
        <w:rPr>
          <w:rFonts w:ascii="Times New Roman" w:eastAsia="Times New Roman" w:hAnsi="Times New Roman" w:cs="Times New Roman"/>
          <w:sz w:val="24"/>
          <w:szCs w:val="24"/>
          <w:lang w:val="en-US" w:eastAsia="ru-RU"/>
        </w:rPr>
        <w:t>.</w:t>
      </w:r>
    </w:p>
    <w:p w:rsidR="004D6EE2" w:rsidRDefault="004D6EE2" w:rsidP="00221BEC">
      <w:pPr>
        <w:keepNext/>
        <w:spacing w:after="120" w:line="240" w:lineRule="auto"/>
        <w:ind w:firstLine="709"/>
        <w:jc w:val="both"/>
        <w:rPr>
          <w:rFonts w:ascii="HeliosCond" w:eastAsia="Times New Roman" w:hAnsi="HeliosCond" w:cs="Times New Roman"/>
          <w:b/>
          <w:color w:val="5F5F5F"/>
          <w:sz w:val="24"/>
          <w:szCs w:val="24"/>
          <w:lang w:val="en-US"/>
        </w:rPr>
      </w:pPr>
      <w:r>
        <w:rPr>
          <w:rFonts w:ascii="HeliosCond" w:eastAsia="Times New Roman" w:hAnsi="HeliosCond" w:cs="Times New Roman"/>
          <w:b/>
          <w:noProof/>
          <w:color w:val="5F5F5F"/>
          <w:sz w:val="24"/>
          <w:szCs w:val="24"/>
          <w:lang w:eastAsia="ru-RU"/>
        </w:rPr>
        <w:lastRenderedPageBreak/>
        <w:drawing>
          <wp:inline distT="0" distB="0" distL="0" distR="0" wp14:anchorId="7E858091">
            <wp:extent cx="4680000" cy="2492687"/>
            <wp:effectExtent l="0" t="0" r="635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2492687"/>
                    </a:xfrm>
                    <a:prstGeom prst="rect">
                      <a:avLst/>
                    </a:prstGeom>
                    <a:noFill/>
                  </pic:spPr>
                </pic:pic>
              </a:graphicData>
            </a:graphic>
          </wp:inline>
        </w:drawing>
      </w:r>
    </w:p>
    <w:p w:rsidR="00221BEC" w:rsidRPr="000018A2" w:rsidRDefault="00221BEC" w:rsidP="005845B1">
      <w:pPr>
        <w:spacing w:after="240" w:line="240" w:lineRule="auto"/>
        <w:ind w:left="142"/>
        <w:jc w:val="both"/>
        <w:rPr>
          <w:rFonts w:ascii="Times New Roman" w:eastAsia="Times New Roman" w:hAnsi="Times New Roman" w:cs="Times New Roman"/>
          <w:b/>
          <w:lang w:val="en-US" w:eastAsia="ru-RU"/>
        </w:rPr>
      </w:pPr>
      <w:r w:rsidRPr="000018A2">
        <w:rPr>
          <w:rFonts w:ascii="Times New Roman" w:eastAsia="Times New Roman" w:hAnsi="Times New Roman" w:cs="Times New Roman"/>
          <w:b/>
          <w:lang w:val="en-US" w:eastAsia="ru-RU"/>
        </w:rPr>
        <w:t>Fig. 1. Services confidence indicator and its components for the period 2012 Q1–2017 Q4</w:t>
      </w:r>
      <w:r w:rsidR="005845B1" w:rsidRPr="000018A2">
        <w:rPr>
          <w:rFonts w:ascii="Times New Roman" w:eastAsia="Times New Roman" w:hAnsi="Times New Roman" w:cs="Times New Roman"/>
          <w:b/>
          <w:lang w:val="en-US" w:eastAsia="ru-RU"/>
        </w:rPr>
        <w:t>; balances, %</w:t>
      </w:r>
    </w:p>
    <w:p w:rsidR="00221BEC" w:rsidRDefault="00221BEC" w:rsidP="00DF4A1B">
      <w:pPr>
        <w:spacing w:after="0" w:line="360" w:lineRule="auto"/>
        <w:ind w:lef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Optimistic</w:t>
      </w:r>
      <w:r w:rsidRPr="00221BEC">
        <w:rPr>
          <w:rFonts w:ascii="Times New Roman" w:eastAsia="Times New Roman" w:hAnsi="Times New Roman" w:cs="Times New Roman"/>
          <w:sz w:val="24"/>
          <w:szCs w:val="24"/>
          <w:lang w:val="en-US" w:eastAsia="ru-RU"/>
        </w:rPr>
        <w:t xml:space="preserve"> sentiment </w:t>
      </w:r>
      <w:r w:rsidR="004577CA">
        <w:rPr>
          <w:rFonts w:ascii="Times New Roman" w:eastAsia="Times New Roman" w:hAnsi="Times New Roman" w:cs="Times New Roman"/>
          <w:sz w:val="24"/>
          <w:szCs w:val="24"/>
          <w:lang w:val="en-US" w:eastAsia="ru-RU"/>
        </w:rPr>
        <w:t>s</w:t>
      </w:r>
      <w:r w:rsidRPr="00221BEC">
        <w:rPr>
          <w:rFonts w:ascii="Times New Roman" w:eastAsia="Times New Roman" w:hAnsi="Times New Roman" w:cs="Times New Roman"/>
          <w:sz w:val="24"/>
          <w:szCs w:val="24"/>
          <w:lang w:val="en-US" w:eastAsia="ru-RU"/>
        </w:rPr>
        <w:t xml:space="preserve">only </w:t>
      </w:r>
      <w:r>
        <w:rPr>
          <w:rFonts w:ascii="Times New Roman" w:eastAsia="Times New Roman" w:hAnsi="Times New Roman" w:cs="Times New Roman"/>
          <w:sz w:val="24"/>
          <w:szCs w:val="24"/>
          <w:lang w:val="en-US" w:eastAsia="ru-RU"/>
        </w:rPr>
        <w:t>in</w:t>
      </w:r>
      <w:r w:rsidRPr="00221BEC">
        <w:rPr>
          <w:rFonts w:ascii="Times New Roman" w:eastAsia="Times New Roman" w:hAnsi="Times New Roman" w:cs="Times New Roman"/>
          <w:sz w:val="24"/>
          <w:szCs w:val="24"/>
          <w:lang w:val="en-US" w:eastAsia="ru-RU"/>
        </w:rPr>
        <w:t xml:space="preserve"> </w:t>
      </w:r>
      <w:r w:rsidR="004577CA" w:rsidRPr="004577CA">
        <w:rPr>
          <w:rFonts w:ascii="Times New Roman" w:eastAsia="Times New Roman" w:hAnsi="Times New Roman" w:cs="Times New Roman"/>
          <w:sz w:val="24"/>
          <w:szCs w:val="24"/>
          <w:lang w:val="en-US" w:eastAsia="ru-RU"/>
        </w:rPr>
        <w:t xml:space="preserve">the </w:t>
      </w:r>
      <w:r w:rsidRPr="00221BEC">
        <w:rPr>
          <w:rFonts w:ascii="Times New Roman" w:eastAsia="Times New Roman" w:hAnsi="Times New Roman" w:cs="Times New Roman"/>
          <w:sz w:val="24"/>
          <w:szCs w:val="24"/>
          <w:lang w:val="en-US" w:eastAsia="ru-RU"/>
        </w:rPr>
        <w:t xml:space="preserve">insurance </w:t>
      </w:r>
      <w:r>
        <w:rPr>
          <w:rFonts w:ascii="Times New Roman" w:eastAsia="Times New Roman" w:hAnsi="Times New Roman" w:cs="Times New Roman"/>
          <w:sz w:val="24"/>
          <w:szCs w:val="24"/>
          <w:lang w:val="en-US" w:eastAsia="ru-RU"/>
        </w:rPr>
        <w:t>segment</w:t>
      </w:r>
      <w:r w:rsidR="004577CA">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where </w:t>
      </w:r>
      <w:r w:rsidRPr="00221BEC">
        <w:rPr>
          <w:rFonts w:ascii="Times New Roman" w:eastAsia="Times New Roman" w:hAnsi="Times New Roman" w:cs="Times New Roman"/>
          <w:sz w:val="24"/>
          <w:szCs w:val="24"/>
          <w:lang w:val="en-US" w:eastAsia="ru-RU"/>
        </w:rPr>
        <w:t>the ind</w:t>
      </w:r>
      <w:r>
        <w:rPr>
          <w:rFonts w:ascii="Times New Roman" w:eastAsia="Times New Roman" w:hAnsi="Times New Roman" w:cs="Times New Roman"/>
          <w:sz w:val="24"/>
          <w:szCs w:val="24"/>
          <w:lang w:val="en-US" w:eastAsia="ru-RU"/>
        </w:rPr>
        <w:t xml:space="preserve">icator </w:t>
      </w:r>
      <w:r w:rsidRPr="00221BEC">
        <w:rPr>
          <w:rFonts w:ascii="Times New Roman" w:eastAsia="Times New Roman" w:hAnsi="Times New Roman" w:cs="Times New Roman"/>
          <w:sz w:val="24"/>
          <w:szCs w:val="24"/>
          <w:lang w:val="en-US" w:eastAsia="ru-RU"/>
        </w:rPr>
        <w:t xml:space="preserve">reached a positive value. The most unfavorable business climate </w:t>
      </w:r>
      <w:proofErr w:type="gramStart"/>
      <w:r w:rsidR="004577CA">
        <w:rPr>
          <w:rFonts w:ascii="Times New Roman" w:eastAsia="Times New Roman" w:hAnsi="Times New Roman" w:cs="Times New Roman"/>
          <w:sz w:val="24"/>
          <w:szCs w:val="24"/>
          <w:lang w:val="en-US" w:eastAsia="ru-RU"/>
        </w:rPr>
        <w:t>is</w:t>
      </w:r>
      <w:r w:rsidR="003163F2">
        <w:rPr>
          <w:rFonts w:ascii="Times New Roman" w:eastAsia="Times New Roman" w:hAnsi="Times New Roman" w:cs="Times New Roman"/>
          <w:sz w:val="24"/>
          <w:szCs w:val="24"/>
          <w:lang w:val="en-US" w:eastAsia="ru-RU"/>
        </w:rPr>
        <w:t xml:space="preserve"> observed</w:t>
      </w:r>
      <w:proofErr w:type="gramEnd"/>
      <w:r w:rsidR="003163F2">
        <w:rPr>
          <w:rFonts w:ascii="Times New Roman" w:eastAsia="Times New Roman" w:hAnsi="Times New Roman" w:cs="Times New Roman"/>
          <w:sz w:val="24"/>
          <w:szCs w:val="24"/>
          <w:lang w:val="en-US" w:eastAsia="ru-RU"/>
        </w:rPr>
        <w:t xml:space="preserve"> </w:t>
      </w:r>
      <w:r w:rsidRPr="00221BEC">
        <w:rPr>
          <w:rFonts w:ascii="Times New Roman" w:eastAsia="Times New Roman" w:hAnsi="Times New Roman" w:cs="Times New Roman"/>
          <w:sz w:val="24"/>
          <w:szCs w:val="24"/>
          <w:lang w:val="en-US" w:eastAsia="ru-RU"/>
        </w:rPr>
        <w:t xml:space="preserve">in the </w:t>
      </w:r>
      <w:r w:rsidR="003163F2">
        <w:rPr>
          <w:rFonts w:ascii="Times New Roman" w:eastAsia="Times New Roman" w:hAnsi="Times New Roman" w:cs="Times New Roman"/>
          <w:sz w:val="24"/>
          <w:szCs w:val="24"/>
          <w:lang w:val="en-US" w:eastAsia="ru-RU"/>
        </w:rPr>
        <w:t xml:space="preserve">real estate activity, the </w:t>
      </w:r>
      <w:r w:rsidRPr="00221BEC">
        <w:rPr>
          <w:rFonts w:ascii="Times New Roman" w:eastAsia="Times New Roman" w:hAnsi="Times New Roman" w:cs="Times New Roman"/>
          <w:sz w:val="24"/>
          <w:szCs w:val="24"/>
          <w:lang w:val="en-US" w:eastAsia="ru-RU"/>
        </w:rPr>
        <w:t xml:space="preserve">personal services, </w:t>
      </w:r>
      <w:r w:rsidR="003163F2">
        <w:rPr>
          <w:rFonts w:ascii="Times New Roman" w:eastAsia="Times New Roman" w:hAnsi="Times New Roman" w:cs="Times New Roman"/>
          <w:sz w:val="24"/>
          <w:szCs w:val="24"/>
          <w:lang w:val="en-US" w:eastAsia="ru-RU"/>
        </w:rPr>
        <w:t xml:space="preserve">and the </w:t>
      </w:r>
      <w:r w:rsidRPr="00221BEC">
        <w:rPr>
          <w:rFonts w:ascii="Times New Roman" w:eastAsia="Times New Roman" w:hAnsi="Times New Roman" w:cs="Times New Roman"/>
          <w:sz w:val="24"/>
          <w:szCs w:val="24"/>
          <w:lang w:val="en-US" w:eastAsia="ru-RU"/>
        </w:rPr>
        <w:t xml:space="preserve">repair of personal </w:t>
      </w:r>
      <w:r w:rsidR="003163F2">
        <w:rPr>
          <w:rFonts w:ascii="Times New Roman" w:eastAsia="Times New Roman" w:hAnsi="Times New Roman" w:cs="Times New Roman"/>
          <w:sz w:val="24"/>
          <w:szCs w:val="24"/>
          <w:lang w:val="en-US" w:eastAsia="ru-RU"/>
        </w:rPr>
        <w:t>goods (</w:t>
      </w:r>
      <w:r w:rsidR="003163F2" w:rsidRPr="000018A2">
        <w:rPr>
          <w:rFonts w:ascii="Times New Roman" w:eastAsia="Times New Roman" w:hAnsi="Times New Roman" w:cs="Times New Roman"/>
          <w:sz w:val="24"/>
          <w:szCs w:val="24"/>
          <w:lang w:val="en-US" w:eastAsia="ru-RU"/>
        </w:rPr>
        <w:t>see Fig. 2</w:t>
      </w:r>
      <w:r w:rsidR="003163F2">
        <w:rPr>
          <w:rFonts w:ascii="Times New Roman" w:eastAsia="Times New Roman" w:hAnsi="Times New Roman" w:cs="Times New Roman"/>
          <w:sz w:val="24"/>
          <w:szCs w:val="24"/>
          <w:lang w:val="en-US" w:eastAsia="ru-RU"/>
        </w:rPr>
        <w:t>)</w:t>
      </w:r>
      <w:r w:rsidRPr="00221BEC">
        <w:rPr>
          <w:rFonts w:ascii="Times New Roman" w:eastAsia="Times New Roman" w:hAnsi="Times New Roman" w:cs="Times New Roman"/>
          <w:sz w:val="24"/>
          <w:szCs w:val="24"/>
          <w:lang w:val="en-US" w:eastAsia="ru-RU"/>
        </w:rPr>
        <w:t>.</w:t>
      </w:r>
    </w:p>
    <w:p w:rsidR="00287150" w:rsidRPr="004577CA" w:rsidRDefault="00287150" w:rsidP="00287150">
      <w:pPr>
        <w:keepNext/>
        <w:spacing w:after="0" w:line="36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ECCCAFD">
            <wp:extent cx="4320000" cy="2445421"/>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2445421"/>
                    </a:xfrm>
                    <a:prstGeom prst="rect">
                      <a:avLst/>
                    </a:prstGeom>
                    <a:noFill/>
                  </pic:spPr>
                </pic:pic>
              </a:graphicData>
            </a:graphic>
          </wp:inline>
        </w:drawing>
      </w:r>
    </w:p>
    <w:p w:rsidR="003163F2" w:rsidRPr="000018A2" w:rsidRDefault="003163F2" w:rsidP="005845B1">
      <w:pPr>
        <w:spacing w:after="240" w:line="240" w:lineRule="auto"/>
        <w:ind w:left="142"/>
        <w:jc w:val="both"/>
        <w:rPr>
          <w:rFonts w:ascii="Times New Roman" w:eastAsia="Times New Roman" w:hAnsi="Times New Roman" w:cs="Times New Roman"/>
          <w:b/>
          <w:lang w:val="en-US" w:eastAsia="ru-RU"/>
        </w:rPr>
      </w:pPr>
      <w:r w:rsidRPr="000018A2">
        <w:rPr>
          <w:rFonts w:ascii="Times New Roman" w:eastAsia="Times New Roman" w:hAnsi="Times New Roman" w:cs="Times New Roman"/>
          <w:b/>
          <w:lang w:val="en-US" w:eastAsia="ru-RU"/>
        </w:rPr>
        <w:t>Fig. 2. Services confidence indicator in various kinds of services activities, 2017 Q4</w:t>
      </w:r>
      <w:r w:rsidR="005845B1" w:rsidRPr="000018A2">
        <w:rPr>
          <w:rFonts w:ascii="Times New Roman" w:eastAsia="Times New Roman" w:hAnsi="Times New Roman" w:cs="Times New Roman"/>
          <w:b/>
          <w:lang w:val="en-US" w:eastAsia="ru-RU"/>
        </w:rPr>
        <w:t>; balances, %</w:t>
      </w:r>
    </w:p>
    <w:p w:rsidR="003163F2" w:rsidRDefault="00D65767" w:rsidP="00C66B3A">
      <w:pPr>
        <w:spacing w:after="0" w:line="360" w:lineRule="auto"/>
        <w:ind w:lef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During</w:t>
      </w:r>
      <w:r w:rsidR="003163F2" w:rsidRPr="003163F2">
        <w:rPr>
          <w:rFonts w:ascii="Times New Roman" w:eastAsia="Times New Roman" w:hAnsi="Times New Roman" w:cs="Times New Roman"/>
          <w:sz w:val="24"/>
          <w:szCs w:val="24"/>
          <w:lang w:val="en-US" w:eastAsia="ru-RU"/>
        </w:rPr>
        <w:t xml:space="preserve"> 2017, </w:t>
      </w:r>
      <w:r w:rsidR="000018A2">
        <w:rPr>
          <w:rFonts w:ascii="Times New Roman" w:eastAsia="Times New Roman" w:hAnsi="Times New Roman" w:cs="Times New Roman"/>
          <w:sz w:val="24"/>
          <w:szCs w:val="24"/>
          <w:lang w:val="en-US" w:eastAsia="ru-RU"/>
        </w:rPr>
        <w:t xml:space="preserve">the </w:t>
      </w:r>
      <w:r w:rsidR="003163F2" w:rsidRPr="003163F2">
        <w:rPr>
          <w:rFonts w:ascii="Times New Roman" w:eastAsia="Times New Roman" w:hAnsi="Times New Roman" w:cs="Times New Roman"/>
          <w:sz w:val="24"/>
          <w:szCs w:val="24"/>
          <w:lang w:val="en-US" w:eastAsia="ru-RU"/>
        </w:rPr>
        <w:t xml:space="preserve">short-term </w:t>
      </w:r>
      <w:r w:rsidR="003163F2">
        <w:rPr>
          <w:rFonts w:ascii="Times New Roman" w:eastAsia="Times New Roman" w:hAnsi="Times New Roman" w:cs="Times New Roman"/>
          <w:sz w:val="24"/>
          <w:szCs w:val="24"/>
          <w:lang w:val="en-US" w:eastAsia="ru-RU"/>
        </w:rPr>
        <w:t xml:space="preserve">respondents’ </w:t>
      </w:r>
      <w:r w:rsidR="003163F2" w:rsidRPr="003163F2">
        <w:rPr>
          <w:rFonts w:ascii="Times New Roman" w:eastAsia="Times New Roman" w:hAnsi="Times New Roman" w:cs="Times New Roman"/>
          <w:sz w:val="24"/>
          <w:szCs w:val="24"/>
          <w:lang w:val="en-US" w:eastAsia="ru-RU"/>
        </w:rPr>
        <w:t>expectation</w:t>
      </w:r>
      <w:r w:rsidR="005B62C8">
        <w:rPr>
          <w:rFonts w:ascii="Times New Roman" w:eastAsia="Times New Roman" w:hAnsi="Times New Roman" w:cs="Times New Roman"/>
          <w:sz w:val="24"/>
          <w:szCs w:val="24"/>
          <w:lang w:val="en-US" w:eastAsia="ru-RU"/>
        </w:rPr>
        <w:t>s</w:t>
      </w:r>
      <w:r w:rsidR="003163F2" w:rsidRPr="003163F2">
        <w:rPr>
          <w:rFonts w:ascii="Times New Roman" w:eastAsia="Times New Roman" w:hAnsi="Times New Roman" w:cs="Times New Roman"/>
          <w:sz w:val="24"/>
          <w:szCs w:val="24"/>
          <w:lang w:val="en-US" w:eastAsia="ru-RU"/>
        </w:rPr>
        <w:t xml:space="preserve"> </w:t>
      </w:r>
      <w:r w:rsidR="003163F2">
        <w:rPr>
          <w:rFonts w:ascii="Times New Roman" w:eastAsia="Times New Roman" w:hAnsi="Times New Roman" w:cs="Times New Roman"/>
          <w:sz w:val="24"/>
          <w:szCs w:val="24"/>
          <w:lang w:val="en-US" w:eastAsia="ru-RU"/>
        </w:rPr>
        <w:t xml:space="preserve">suggested that </w:t>
      </w:r>
      <w:r w:rsidR="004577CA" w:rsidRPr="004577CA">
        <w:rPr>
          <w:rFonts w:ascii="Times New Roman" w:eastAsia="Times New Roman" w:hAnsi="Times New Roman" w:cs="Times New Roman"/>
          <w:sz w:val="24"/>
          <w:szCs w:val="24"/>
          <w:lang w:val="en-US" w:eastAsia="ru-RU"/>
        </w:rPr>
        <w:t>overcoming</w:t>
      </w:r>
      <w:r w:rsidR="005B62C8" w:rsidRPr="005B62C8">
        <w:rPr>
          <w:rFonts w:ascii="Times New Roman" w:eastAsia="Times New Roman" w:hAnsi="Times New Roman" w:cs="Times New Roman"/>
          <w:sz w:val="24"/>
          <w:szCs w:val="24"/>
          <w:lang w:val="en-US" w:eastAsia="ru-RU"/>
        </w:rPr>
        <w:t xml:space="preserve"> a prolonged recession</w:t>
      </w:r>
      <w:r w:rsidR="000018A2" w:rsidRPr="000018A2">
        <w:rPr>
          <w:lang w:val="en-US"/>
        </w:rPr>
        <w:t xml:space="preserve"> </w:t>
      </w:r>
      <w:r w:rsidR="000018A2" w:rsidRPr="000018A2">
        <w:rPr>
          <w:rFonts w:ascii="Times New Roman" w:eastAsia="Times New Roman" w:hAnsi="Times New Roman" w:cs="Times New Roman"/>
          <w:sz w:val="24"/>
          <w:szCs w:val="24"/>
          <w:lang w:val="en-US" w:eastAsia="ru-RU"/>
        </w:rPr>
        <w:t>for the service sector</w:t>
      </w:r>
      <w:r w:rsidR="005B62C8" w:rsidRPr="005B62C8">
        <w:rPr>
          <w:rFonts w:ascii="Times New Roman" w:eastAsia="Times New Roman" w:hAnsi="Times New Roman" w:cs="Times New Roman"/>
          <w:sz w:val="24"/>
          <w:szCs w:val="24"/>
          <w:lang w:val="en-US" w:eastAsia="ru-RU"/>
        </w:rPr>
        <w:t xml:space="preserve"> </w:t>
      </w:r>
      <w:r w:rsidR="005B62C8">
        <w:rPr>
          <w:rFonts w:ascii="Times New Roman" w:eastAsia="Times New Roman" w:hAnsi="Times New Roman" w:cs="Times New Roman"/>
          <w:sz w:val="24"/>
          <w:szCs w:val="24"/>
          <w:lang w:val="en-US" w:eastAsia="ru-RU"/>
        </w:rPr>
        <w:t xml:space="preserve">is </w:t>
      </w:r>
      <w:r w:rsidR="003163F2" w:rsidRPr="003163F2">
        <w:rPr>
          <w:rFonts w:ascii="Times New Roman" w:eastAsia="Times New Roman" w:hAnsi="Times New Roman" w:cs="Times New Roman"/>
          <w:sz w:val="24"/>
          <w:szCs w:val="24"/>
          <w:lang w:val="en-US" w:eastAsia="ru-RU"/>
        </w:rPr>
        <w:t xml:space="preserve">possible. However, </w:t>
      </w:r>
      <w:r>
        <w:rPr>
          <w:rFonts w:ascii="Times New Roman" w:eastAsia="Times New Roman" w:hAnsi="Times New Roman" w:cs="Times New Roman"/>
          <w:sz w:val="24"/>
          <w:szCs w:val="24"/>
          <w:lang w:val="en-US" w:eastAsia="ru-RU"/>
        </w:rPr>
        <w:t>to implement expectations</w:t>
      </w:r>
      <w:r w:rsidR="00E53B4E">
        <w:rPr>
          <w:rFonts w:ascii="Times New Roman" w:eastAsia="Times New Roman" w:hAnsi="Times New Roman" w:cs="Times New Roman"/>
          <w:sz w:val="24"/>
          <w:szCs w:val="24"/>
          <w:lang w:val="en-US" w:eastAsia="ru-RU"/>
        </w:rPr>
        <w:t>,</w:t>
      </w:r>
      <w:r w:rsidR="003163F2" w:rsidRPr="003163F2">
        <w:rPr>
          <w:rFonts w:ascii="Times New Roman" w:eastAsia="Times New Roman" w:hAnsi="Times New Roman" w:cs="Times New Roman"/>
          <w:sz w:val="24"/>
          <w:szCs w:val="24"/>
          <w:lang w:val="en-US" w:eastAsia="ru-RU"/>
        </w:rPr>
        <w:t xml:space="preserve"> </w:t>
      </w:r>
      <w:r w:rsidR="003163F2" w:rsidRPr="00E53B4E">
        <w:rPr>
          <w:rFonts w:ascii="Times New Roman" w:eastAsia="Times New Roman" w:hAnsi="Times New Roman" w:cs="Times New Roman"/>
          <w:sz w:val="24"/>
          <w:szCs w:val="24"/>
          <w:lang w:val="en-US" w:eastAsia="ru-RU"/>
        </w:rPr>
        <w:t xml:space="preserve">at least </w:t>
      </w:r>
      <w:r w:rsidR="00E53B4E" w:rsidRPr="00E53B4E">
        <w:rPr>
          <w:rFonts w:ascii="Times New Roman" w:eastAsia="Times New Roman" w:hAnsi="Times New Roman" w:cs="Times New Roman"/>
          <w:sz w:val="24"/>
          <w:szCs w:val="24"/>
          <w:lang w:val="en-US" w:eastAsia="ru-RU"/>
        </w:rPr>
        <w:t>two conditions must be fulfilled</w:t>
      </w:r>
      <w:r w:rsidR="00E53B4E">
        <w:rPr>
          <w:rFonts w:ascii="Times New Roman" w:eastAsia="Times New Roman" w:hAnsi="Times New Roman" w:cs="Times New Roman"/>
          <w:sz w:val="24"/>
          <w:szCs w:val="24"/>
          <w:lang w:val="en-US" w:eastAsia="ru-RU"/>
        </w:rPr>
        <w:t xml:space="preserve"> – </w:t>
      </w:r>
      <w:r w:rsidR="003163F2" w:rsidRPr="003163F2">
        <w:rPr>
          <w:rFonts w:ascii="Times New Roman" w:eastAsia="Times New Roman" w:hAnsi="Times New Roman" w:cs="Times New Roman"/>
          <w:sz w:val="24"/>
          <w:szCs w:val="24"/>
          <w:lang w:val="en-US" w:eastAsia="ru-RU"/>
        </w:rPr>
        <w:t>maintaining macroeconomic stability and re</w:t>
      </w:r>
      <w:r w:rsidR="005B62C8">
        <w:rPr>
          <w:rFonts w:ascii="Times New Roman" w:eastAsia="Times New Roman" w:hAnsi="Times New Roman" w:cs="Times New Roman"/>
          <w:sz w:val="24"/>
          <w:szCs w:val="24"/>
          <w:lang w:val="en-US" w:eastAsia="ru-RU"/>
        </w:rPr>
        <w:t>cover</w:t>
      </w:r>
      <w:r w:rsidR="000018A2">
        <w:rPr>
          <w:rFonts w:ascii="Times New Roman" w:eastAsia="Times New Roman" w:hAnsi="Times New Roman" w:cs="Times New Roman"/>
          <w:sz w:val="24"/>
          <w:szCs w:val="24"/>
          <w:lang w:val="en-US" w:eastAsia="ru-RU"/>
        </w:rPr>
        <w:t xml:space="preserve">ing </w:t>
      </w:r>
      <w:r w:rsidR="005B62C8">
        <w:rPr>
          <w:rFonts w:ascii="Times New Roman" w:eastAsia="Times New Roman" w:hAnsi="Times New Roman" w:cs="Times New Roman"/>
          <w:sz w:val="24"/>
          <w:szCs w:val="24"/>
          <w:lang w:val="en-US" w:eastAsia="ru-RU"/>
        </w:rPr>
        <w:t>consumer</w:t>
      </w:r>
      <w:r w:rsidR="003163F2" w:rsidRPr="003163F2">
        <w:rPr>
          <w:rFonts w:ascii="Times New Roman" w:eastAsia="Times New Roman" w:hAnsi="Times New Roman" w:cs="Times New Roman"/>
          <w:sz w:val="24"/>
          <w:szCs w:val="24"/>
          <w:lang w:val="en-US" w:eastAsia="ru-RU"/>
        </w:rPr>
        <w:t xml:space="preserve"> demand; the latter, </w:t>
      </w:r>
      <w:r w:rsidR="003163F2" w:rsidRPr="00674241">
        <w:rPr>
          <w:rFonts w:ascii="Times New Roman" w:eastAsia="Times New Roman" w:hAnsi="Times New Roman" w:cs="Times New Roman"/>
          <w:sz w:val="24"/>
          <w:szCs w:val="24"/>
          <w:lang w:val="en-US" w:eastAsia="ru-RU"/>
        </w:rPr>
        <w:t xml:space="preserve">unfortunately, </w:t>
      </w:r>
      <w:proofErr w:type="gramStart"/>
      <w:r w:rsidR="005B7F7B" w:rsidRPr="00674241">
        <w:rPr>
          <w:rFonts w:ascii="Times New Roman" w:eastAsia="Times New Roman" w:hAnsi="Times New Roman" w:cs="Times New Roman"/>
          <w:sz w:val="24"/>
          <w:szCs w:val="24"/>
          <w:lang w:val="en-US" w:eastAsia="ru-RU"/>
        </w:rPr>
        <w:t>was not met</w:t>
      </w:r>
      <w:proofErr w:type="gramEnd"/>
      <w:r w:rsidR="003163F2" w:rsidRPr="00674241">
        <w:rPr>
          <w:rFonts w:ascii="Times New Roman" w:eastAsia="Times New Roman" w:hAnsi="Times New Roman" w:cs="Times New Roman"/>
          <w:sz w:val="24"/>
          <w:szCs w:val="24"/>
          <w:lang w:val="en-US" w:eastAsia="ru-RU"/>
        </w:rPr>
        <w:t xml:space="preserve">. </w:t>
      </w:r>
      <w:r w:rsidR="005B7F7B" w:rsidRPr="00674241">
        <w:rPr>
          <w:rFonts w:ascii="Times New Roman" w:eastAsia="Times New Roman" w:hAnsi="Times New Roman" w:cs="Times New Roman"/>
          <w:sz w:val="24"/>
          <w:szCs w:val="24"/>
          <w:lang w:val="en-US" w:eastAsia="ru-RU"/>
        </w:rPr>
        <w:t>T</w:t>
      </w:r>
      <w:r w:rsidR="003163F2" w:rsidRPr="00674241">
        <w:rPr>
          <w:rFonts w:ascii="Times New Roman" w:eastAsia="Times New Roman" w:hAnsi="Times New Roman" w:cs="Times New Roman"/>
          <w:sz w:val="24"/>
          <w:szCs w:val="24"/>
          <w:lang w:val="en-US" w:eastAsia="ru-RU"/>
        </w:rPr>
        <w:t>he</w:t>
      </w:r>
      <w:r w:rsidR="003163F2" w:rsidRPr="003163F2">
        <w:rPr>
          <w:rFonts w:ascii="Times New Roman" w:eastAsia="Times New Roman" w:hAnsi="Times New Roman" w:cs="Times New Roman"/>
          <w:sz w:val="24"/>
          <w:szCs w:val="24"/>
          <w:lang w:val="en-US" w:eastAsia="ru-RU"/>
        </w:rPr>
        <w:t xml:space="preserve"> survey </w:t>
      </w:r>
      <w:r w:rsidR="005B7F7B">
        <w:rPr>
          <w:rFonts w:ascii="Times New Roman" w:eastAsia="Times New Roman" w:hAnsi="Times New Roman" w:cs="Times New Roman"/>
          <w:sz w:val="24"/>
          <w:szCs w:val="24"/>
          <w:lang w:val="en-US" w:eastAsia="ru-RU"/>
        </w:rPr>
        <w:t xml:space="preserve">covers </w:t>
      </w:r>
      <w:r w:rsidRPr="00D65767">
        <w:rPr>
          <w:rFonts w:ascii="Times New Roman" w:eastAsia="Times New Roman" w:hAnsi="Times New Roman" w:cs="Times New Roman"/>
          <w:sz w:val="24"/>
          <w:szCs w:val="24"/>
          <w:lang w:val="en-US" w:eastAsia="ru-RU"/>
        </w:rPr>
        <w:t xml:space="preserve">mainly </w:t>
      </w:r>
      <w:r w:rsidR="003163F2" w:rsidRPr="003163F2">
        <w:rPr>
          <w:rFonts w:ascii="Times New Roman" w:eastAsia="Times New Roman" w:hAnsi="Times New Roman" w:cs="Times New Roman"/>
          <w:sz w:val="24"/>
          <w:szCs w:val="24"/>
          <w:lang w:val="en-US" w:eastAsia="ru-RU"/>
        </w:rPr>
        <w:t>organizations that provide Busines</w:t>
      </w:r>
      <w:r w:rsidR="005B7F7B">
        <w:rPr>
          <w:rFonts w:ascii="Times New Roman" w:eastAsia="Times New Roman" w:hAnsi="Times New Roman" w:cs="Times New Roman"/>
          <w:sz w:val="24"/>
          <w:szCs w:val="24"/>
          <w:lang w:val="en-US" w:eastAsia="ru-RU"/>
        </w:rPr>
        <w:t>s</w:t>
      </w:r>
      <w:r w:rsidR="003163F2" w:rsidRPr="003163F2">
        <w:rPr>
          <w:rFonts w:ascii="Times New Roman" w:eastAsia="Times New Roman" w:hAnsi="Times New Roman" w:cs="Times New Roman"/>
          <w:sz w:val="24"/>
          <w:szCs w:val="24"/>
          <w:lang w:val="en-US" w:eastAsia="ru-RU"/>
        </w:rPr>
        <w:t>-to-Consumer services</w:t>
      </w:r>
      <w:r w:rsidR="005B7F7B">
        <w:rPr>
          <w:rFonts w:ascii="Times New Roman" w:eastAsia="Times New Roman" w:hAnsi="Times New Roman" w:cs="Times New Roman"/>
          <w:sz w:val="24"/>
          <w:szCs w:val="24"/>
          <w:lang w:val="en-US" w:eastAsia="ru-RU"/>
        </w:rPr>
        <w:t>; therefore</w:t>
      </w:r>
      <w:r w:rsidR="003163F2" w:rsidRPr="003163F2">
        <w:rPr>
          <w:rFonts w:ascii="Times New Roman" w:eastAsia="Times New Roman" w:hAnsi="Times New Roman" w:cs="Times New Roman"/>
          <w:sz w:val="24"/>
          <w:szCs w:val="24"/>
          <w:lang w:val="en-US" w:eastAsia="ru-RU"/>
        </w:rPr>
        <w:t>, the development of the</w:t>
      </w:r>
      <w:r w:rsidR="005B7F7B">
        <w:rPr>
          <w:rFonts w:ascii="Times New Roman" w:eastAsia="Times New Roman" w:hAnsi="Times New Roman" w:cs="Times New Roman"/>
          <w:sz w:val="24"/>
          <w:szCs w:val="24"/>
          <w:lang w:val="en-US" w:eastAsia="ru-RU"/>
        </w:rPr>
        <w:t xml:space="preserve">se </w:t>
      </w:r>
      <w:r w:rsidR="005B7F7B" w:rsidRPr="003163F2">
        <w:rPr>
          <w:rFonts w:ascii="Times New Roman" w:eastAsia="Times New Roman" w:hAnsi="Times New Roman" w:cs="Times New Roman"/>
          <w:sz w:val="24"/>
          <w:szCs w:val="24"/>
          <w:lang w:val="en-US" w:eastAsia="ru-RU"/>
        </w:rPr>
        <w:t>organizations</w:t>
      </w:r>
      <w:r w:rsidR="003163F2" w:rsidRPr="003163F2">
        <w:rPr>
          <w:rFonts w:ascii="Times New Roman" w:eastAsia="Times New Roman" w:hAnsi="Times New Roman" w:cs="Times New Roman"/>
          <w:sz w:val="24"/>
          <w:szCs w:val="24"/>
          <w:lang w:val="en-US" w:eastAsia="ru-RU"/>
        </w:rPr>
        <w:t xml:space="preserve"> </w:t>
      </w:r>
      <w:r w:rsidR="005B7F7B">
        <w:rPr>
          <w:rFonts w:ascii="Times New Roman" w:eastAsia="Times New Roman" w:hAnsi="Times New Roman" w:cs="Times New Roman"/>
          <w:sz w:val="24"/>
          <w:szCs w:val="24"/>
          <w:lang w:val="en-US" w:eastAsia="ru-RU"/>
        </w:rPr>
        <w:t xml:space="preserve">depends </w:t>
      </w:r>
      <w:r w:rsidR="00E53B4E">
        <w:rPr>
          <w:rFonts w:ascii="Times New Roman" w:eastAsia="Times New Roman" w:hAnsi="Times New Roman" w:cs="Times New Roman"/>
          <w:sz w:val="24"/>
          <w:szCs w:val="24"/>
          <w:lang w:val="en-US" w:eastAsia="ru-RU"/>
        </w:rPr>
        <w:t xml:space="preserve">strongly </w:t>
      </w:r>
      <w:r w:rsidR="005B7F7B">
        <w:rPr>
          <w:rFonts w:ascii="Times New Roman" w:eastAsia="Times New Roman" w:hAnsi="Times New Roman" w:cs="Times New Roman"/>
          <w:sz w:val="24"/>
          <w:szCs w:val="24"/>
          <w:lang w:val="en-US" w:eastAsia="ru-RU"/>
        </w:rPr>
        <w:t xml:space="preserve">on </w:t>
      </w:r>
      <w:r w:rsidR="003163F2" w:rsidRPr="003163F2">
        <w:rPr>
          <w:rFonts w:ascii="Times New Roman" w:eastAsia="Times New Roman" w:hAnsi="Times New Roman" w:cs="Times New Roman"/>
          <w:sz w:val="24"/>
          <w:szCs w:val="24"/>
          <w:lang w:val="en-US" w:eastAsia="ru-RU"/>
        </w:rPr>
        <w:t>household incomes. However, in 2017 real disposable incomes of the population continued to fall (</w:t>
      </w:r>
      <w:r w:rsidR="00E53B4E">
        <w:rPr>
          <w:rFonts w:ascii="Times New Roman" w:eastAsia="Times New Roman" w:hAnsi="Times New Roman" w:cs="Times New Roman"/>
          <w:sz w:val="24"/>
          <w:szCs w:val="24"/>
          <w:lang w:val="en-US" w:eastAsia="ru-RU"/>
        </w:rPr>
        <w:t xml:space="preserve">amounted to </w:t>
      </w:r>
      <w:r w:rsidR="003163F2" w:rsidRPr="003163F2">
        <w:rPr>
          <w:rFonts w:ascii="Times New Roman" w:eastAsia="Times New Roman" w:hAnsi="Times New Roman" w:cs="Times New Roman"/>
          <w:sz w:val="24"/>
          <w:szCs w:val="24"/>
          <w:lang w:val="en-US" w:eastAsia="ru-RU"/>
        </w:rPr>
        <w:t>98.</w:t>
      </w:r>
      <w:r w:rsidR="00E53B4E">
        <w:rPr>
          <w:rFonts w:ascii="Times New Roman" w:eastAsia="Times New Roman" w:hAnsi="Times New Roman" w:cs="Times New Roman"/>
          <w:sz w:val="24"/>
          <w:szCs w:val="24"/>
          <w:lang w:val="en-US" w:eastAsia="ru-RU"/>
        </w:rPr>
        <w:t>3</w:t>
      </w:r>
      <w:r w:rsidR="003163F2" w:rsidRPr="003163F2">
        <w:rPr>
          <w:rFonts w:ascii="Times New Roman" w:eastAsia="Times New Roman" w:hAnsi="Times New Roman" w:cs="Times New Roman"/>
          <w:sz w:val="24"/>
          <w:szCs w:val="24"/>
          <w:lang w:val="en-US" w:eastAsia="ru-RU"/>
        </w:rPr>
        <w:t xml:space="preserve">% against the previous year). Weak consumer activity </w:t>
      </w:r>
      <w:r w:rsidR="004577CA">
        <w:rPr>
          <w:rFonts w:ascii="Times New Roman" w:eastAsia="Times New Roman" w:hAnsi="Times New Roman" w:cs="Times New Roman"/>
          <w:sz w:val="24"/>
          <w:szCs w:val="24"/>
          <w:lang w:val="en-US" w:eastAsia="ru-RU"/>
        </w:rPr>
        <w:t>is</w:t>
      </w:r>
      <w:r w:rsidR="003163F2" w:rsidRPr="003163F2">
        <w:rPr>
          <w:rFonts w:ascii="Times New Roman" w:eastAsia="Times New Roman" w:hAnsi="Times New Roman" w:cs="Times New Roman"/>
          <w:sz w:val="24"/>
          <w:szCs w:val="24"/>
          <w:lang w:val="en-US" w:eastAsia="ru-RU"/>
        </w:rPr>
        <w:t xml:space="preserve"> the main reason for the </w:t>
      </w:r>
      <w:r w:rsidR="004577CA">
        <w:rPr>
          <w:rFonts w:ascii="Times New Roman" w:eastAsia="Times New Roman" w:hAnsi="Times New Roman" w:cs="Times New Roman"/>
          <w:sz w:val="24"/>
          <w:szCs w:val="24"/>
          <w:lang w:val="en-US" w:eastAsia="ru-RU"/>
        </w:rPr>
        <w:t xml:space="preserve">flat path </w:t>
      </w:r>
      <w:r w:rsidR="000E55B6">
        <w:rPr>
          <w:rFonts w:ascii="Times New Roman" w:eastAsia="Times New Roman" w:hAnsi="Times New Roman" w:cs="Times New Roman"/>
          <w:sz w:val="24"/>
          <w:szCs w:val="24"/>
          <w:lang w:val="en-US" w:eastAsia="ru-RU"/>
        </w:rPr>
        <w:t>of</w:t>
      </w:r>
      <w:r w:rsidR="003163F2" w:rsidRPr="003163F2">
        <w:rPr>
          <w:rFonts w:ascii="Times New Roman" w:eastAsia="Times New Roman" w:hAnsi="Times New Roman" w:cs="Times New Roman"/>
          <w:sz w:val="24"/>
          <w:szCs w:val="24"/>
          <w:lang w:val="en-US" w:eastAsia="ru-RU"/>
        </w:rPr>
        <w:t xml:space="preserve"> the </w:t>
      </w:r>
      <w:r w:rsidR="000018A2" w:rsidRPr="000018A2">
        <w:rPr>
          <w:rFonts w:ascii="Times New Roman" w:eastAsia="Times New Roman" w:hAnsi="Times New Roman" w:cs="Times New Roman"/>
          <w:sz w:val="24"/>
          <w:szCs w:val="24"/>
          <w:lang w:val="en-US" w:eastAsia="ru-RU"/>
        </w:rPr>
        <w:t>services</w:t>
      </w:r>
      <w:r w:rsidR="00E53B4E">
        <w:rPr>
          <w:rFonts w:ascii="Times New Roman" w:eastAsia="Times New Roman" w:hAnsi="Times New Roman" w:cs="Times New Roman"/>
          <w:sz w:val="24"/>
          <w:szCs w:val="24"/>
          <w:lang w:val="en-US" w:eastAsia="ru-RU"/>
        </w:rPr>
        <w:t xml:space="preserve"> </w:t>
      </w:r>
      <w:r w:rsidR="00E53B4E" w:rsidRPr="00E53B4E">
        <w:rPr>
          <w:rFonts w:ascii="Times New Roman" w:eastAsia="Times New Roman" w:hAnsi="Times New Roman" w:cs="Times New Roman"/>
          <w:sz w:val="24"/>
          <w:szCs w:val="24"/>
          <w:lang w:val="en-US" w:eastAsia="ru-RU"/>
        </w:rPr>
        <w:t xml:space="preserve">confidence </w:t>
      </w:r>
      <w:r>
        <w:rPr>
          <w:rFonts w:ascii="Times New Roman" w:eastAsia="Times New Roman" w:hAnsi="Times New Roman" w:cs="Times New Roman"/>
          <w:sz w:val="24"/>
          <w:szCs w:val="24"/>
          <w:lang w:val="en-US" w:eastAsia="ru-RU"/>
        </w:rPr>
        <w:t>in</w:t>
      </w:r>
      <w:r w:rsidR="003163F2" w:rsidRPr="003163F2">
        <w:rPr>
          <w:rFonts w:ascii="Times New Roman" w:eastAsia="Times New Roman" w:hAnsi="Times New Roman" w:cs="Times New Roman"/>
          <w:sz w:val="24"/>
          <w:szCs w:val="24"/>
          <w:lang w:val="en-US" w:eastAsia="ru-RU"/>
        </w:rPr>
        <w:t xml:space="preserve"> 2017.</w:t>
      </w:r>
    </w:p>
    <w:p w:rsidR="005845B1" w:rsidRPr="000E55B6" w:rsidRDefault="005845B1" w:rsidP="00C66B3A">
      <w:pPr>
        <w:spacing w:after="0" w:line="360" w:lineRule="auto"/>
        <w:ind w:left="142" w:firstLine="709"/>
        <w:jc w:val="both"/>
        <w:rPr>
          <w:rFonts w:ascii="Times New Roman" w:eastAsia="Times New Roman" w:hAnsi="Times New Roman" w:cs="Times New Roman"/>
          <w:sz w:val="24"/>
          <w:szCs w:val="24"/>
          <w:lang w:eastAsia="ru-RU"/>
        </w:rPr>
      </w:pPr>
      <w:r w:rsidRPr="00E179BF">
        <w:rPr>
          <w:rFonts w:ascii="Times New Roman" w:eastAsia="Times New Roman" w:hAnsi="Times New Roman" w:cs="Times New Roman"/>
          <w:sz w:val="24"/>
          <w:szCs w:val="24"/>
          <w:lang w:val="en-US" w:eastAsia="ru-RU"/>
        </w:rPr>
        <w:lastRenderedPageBreak/>
        <w:t xml:space="preserve">The </w:t>
      </w:r>
      <w:r w:rsidRPr="00786594">
        <w:rPr>
          <w:rFonts w:ascii="Times New Roman" w:eastAsia="Times New Roman" w:hAnsi="Times New Roman" w:cs="Times New Roman"/>
          <w:i/>
          <w:sz w:val="24"/>
          <w:szCs w:val="24"/>
          <w:lang w:val="en-US" w:eastAsia="ru-RU"/>
        </w:rPr>
        <w:t>demand</w:t>
      </w:r>
      <w:r w:rsidRPr="00E179BF">
        <w:rPr>
          <w:rFonts w:ascii="Times New Roman" w:eastAsia="Times New Roman" w:hAnsi="Times New Roman" w:cs="Times New Roman"/>
          <w:sz w:val="24"/>
          <w:szCs w:val="24"/>
          <w:lang w:val="en-US" w:eastAsia="ru-RU"/>
        </w:rPr>
        <w:t xml:space="preserve"> for services </w:t>
      </w:r>
      <w:r w:rsidR="000E55B6" w:rsidRPr="000E55B6">
        <w:rPr>
          <w:rFonts w:ascii="Times New Roman" w:eastAsia="Times New Roman" w:hAnsi="Times New Roman" w:cs="Times New Roman"/>
          <w:sz w:val="24"/>
          <w:szCs w:val="24"/>
          <w:lang w:val="en-US" w:eastAsia="ru-RU"/>
        </w:rPr>
        <w:t xml:space="preserve">shows </w:t>
      </w:r>
      <w:r w:rsidRPr="00E179BF">
        <w:rPr>
          <w:rFonts w:ascii="Times New Roman" w:eastAsia="Times New Roman" w:hAnsi="Times New Roman" w:cs="Times New Roman"/>
          <w:sz w:val="24"/>
          <w:szCs w:val="24"/>
          <w:lang w:val="en-US" w:eastAsia="ru-RU"/>
        </w:rPr>
        <w:t xml:space="preserve">a </w:t>
      </w:r>
      <w:r w:rsidR="00E179BF" w:rsidRPr="00E179BF">
        <w:rPr>
          <w:rFonts w:ascii="Times New Roman" w:eastAsia="Times New Roman" w:hAnsi="Times New Roman" w:cs="Times New Roman"/>
          <w:sz w:val="24"/>
          <w:szCs w:val="24"/>
          <w:lang w:val="en-US" w:eastAsia="ru-RU"/>
        </w:rPr>
        <w:t xml:space="preserve">bumpy movement </w:t>
      </w:r>
      <w:r w:rsidRPr="00E179BF">
        <w:rPr>
          <w:rFonts w:ascii="Times New Roman" w:eastAsia="Times New Roman" w:hAnsi="Times New Roman" w:cs="Times New Roman"/>
          <w:sz w:val="24"/>
          <w:szCs w:val="24"/>
          <w:lang w:val="en-US" w:eastAsia="ru-RU"/>
        </w:rPr>
        <w:t>in the last two years</w:t>
      </w:r>
      <w:r w:rsidR="000E55B6">
        <w:rPr>
          <w:rFonts w:ascii="Times New Roman" w:eastAsia="Times New Roman" w:hAnsi="Times New Roman" w:cs="Times New Roman"/>
          <w:sz w:val="24"/>
          <w:szCs w:val="24"/>
          <w:lang w:val="en-US" w:eastAsia="ru-RU"/>
        </w:rPr>
        <w:t xml:space="preserve">; </w:t>
      </w:r>
      <w:r w:rsidRPr="00E179BF">
        <w:rPr>
          <w:rFonts w:ascii="Times New Roman" w:eastAsia="Times New Roman" w:hAnsi="Times New Roman" w:cs="Times New Roman"/>
          <w:sz w:val="24"/>
          <w:szCs w:val="24"/>
          <w:lang w:val="en-US" w:eastAsia="ru-RU"/>
        </w:rPr>
        <w:t xml:space="preserve">as a result, </w:t>
      </w:r>
      <w:r w:rsidR="00407C4D">
        <w:rPr>
          <w:rFonts w:ascii="Times New Roman" w:eastAsia="Times New Roman" w:hAnsi="Times New Roman" w:cs="Times New Roman"/>
          <w:sz w:val="24"/>
          <w:szCs w:val="24"/>
          <w:lang w:val="en-US" w:eastAsia="ru-RU"/>
        </w:rPr>
        <w:t xml:space="preserve">in the end of 2017 </w:t>
      </w:r>
      <w:r w:rsidRPr="00E179BF">
        <w:rPr>
          <w:rFonts w:ascii="Times New Roman" w:eastAsia="Times New Roman" w:hAnsi="Times New Roman" w:cs="Times New Roman"/>
          <w:sz w:val="24"/>
          <w:szCs w:val="24"/>
          <w:lang w:val="en-US" w:eastAsia="ru-RU"/>
        </w:rPr>
        <w:t xml:space="preserve">it </w:t>
      </w:r>
      <w:r w:rsidR="00407C4D">
        <w:rPr>
          <w:rFonts w:ascii="Times New Roman" w:eastAsia="Times New Roman" w:hAnsi="Times New Roman" w:cs="Times New Roman"/>
          <w:sz w:val="24"/>
          <w:szCs w:val="24"/>
          <w:lang w:val="en-US" w:eastAsia="ru-RU"/>
        </w:rPr>
        <w:t xml:space="preserve">only </w:t>
      </w:r>
      <w:r w:rsidR="00407C4D" w:rsidRPr="00407C4D">
        <w:rPr>
          <w:rFonts w:ascii="Times New Roman" w:eastAsia="Times New Roman" w:hAnsi="Times New Roman" w:cs="Times New Roman"/>
          <w:sz w:val="24"/>
          <w:szCs w:val="24"/>
          <w:lang w:val="en-US" w:eastAsia="ru-RU"/>
        </w:rPr>
        <w:t>slightly exceed</w:t>
      </w:r>
      <w:r w:rsidR="000E55B6">
        <w:rPr>
          <w:rFonts w:ascii="Times New Roman" w:eastAsia="Times New Roman" w:hAnsi="Times New Roman" w:cs="Times New Roman"/>
          <w:sz w:val="24"/>
          <w:szCs w:val="24"/>
          <w:lang w:val="en-US" w:eastAsia="ru-RU"/>
        </w:rPr>
        <w:t>s</w:t>
      </w:r>
      <w:r w:rsidR="00407C4D" w:rsidRPr="00407C4D">
        <w:rPr>
          <w:rFonts w:ascii="Times New Roman" w:eastAsia="Times New Roman" w:hAnsi="Times New Roman" w:cs="Times New Roman"/>
          <w:sz w:val="24"/>
          <w:szCs w:val="24"/>
          <w:lang w:val="en-US" w:eastAsia="ru-RU"/>
        </w:rPr>
        <w:t xml:space="preserve"> </w:t>
      </w:r>
      <w:r w:rsidR="00E179BF" w:rsidRPr="00E179BF">
        <w:rPr>
          <w:rFonts w:ascii="Times New Roman" w:eastAsia="Times New Roman" w:hAnsi="Times New Roman" w:cs="Times New Roman"/>
          <w:sz w:val="24"/>
          <w:szCs w:val="24"/>
          <w:lang w:val="en-US" w:eastAsia="ru-RU"/>
        </w:rPr>
        <w:t xml:space="preserve">its value in the crisis </w:t>
      </w:r>
      <w:r w:rsidRPr="00E179BF">
        <w:rPr>
          <w:rFonts w:ascii="Times New Roman" w:eastAsia="Times New Roman" w:hAnsi="Times New Roman" w:cs="Times New Roman"/>
          <w:sz w:val="24"/>
          <w:szCs w:val="24"/>
          <w:lang w:val="en-US" w:eastAsia="ru-RU"/>
        </w:rPr>
        <w:t>epicenter in early 2016</w:t>
      </w:r>
      <w:r w:rsidR="00E179BF" w:rsidRPr="00E179BF">
        <w:rPr>
          <w:rFonts w:ascii="Times New Roman" w:eastAsia="Times New Roman" w:hAnsi="Times New Roman" w:cs="Times New Roman"/>
          <w:sz w:val="24"/>
          <w:szCs w:val="24"/>
          <w:lang w:val="en-US" w:eastAsia="ru-RU"/>
        </w:rPr>
        <w:t>.</w:t>
      </w:r>
      <w:r w:rsidR="00E179BF">
        <w:rPr>
          <w:rFonts w:ascii="Times New Roman" w:eastAsia="Times New Roman" w:hAnsi="Times New Roman" w:cs="Times New Roman"/>
          <w:sz w:val="24"/>
          <w:szCs w:val="24"/>
          <w:lang w:val="en-US" w:eastAsia="ru-RU"/>
        </w:rPr>
        <w:t xml:space="preserve"> </w:t>
      </w:r>
      <w:r w:rsidR="00E179BF" w:rsidRPr="00E179BF">
        <w:rPr>
          <w:rFonts w:ascii="Times New Roman" w:eastAsia="Times New Roman" w:hAnsi="Times New Roman" w:cs="Times New Roman"/>
          <w:sz w:val="24"/>
          <w:szCs w:val="24"/>
          <w:lang w:val="en-US" w:eastAsia="ru-RU"/>
        </w:rPr>
        <w:t xml:space="preserve">Under weak demand, there </w:t>
      </w:r>
      <w:r w:rsidR="000E55B6">
        <w:rPr>
          <w:rFonts w:ascii="Times New Roman" w:eastAsia="Times New Roman" w:hAnsi="Times New Roman" w:cs="Times New Roman"/>
          <w:sz w:val="24"/>
          <w:szCs w:val="24"/>
          <w:lang w:val="en-US" w:eastAsia="ru-RU"/>
        </w:rPr>
        <w:t>is</w:t>
      </w:r>
      <w:r w:rsidR="00E179BF" w:rsidRPr="00E179BF">
        <w:rPr>
          <w:rFonts w:ascii="Times New Roman" w:eastAsia="Times New Roman" w:hAnsi="Times New Roman" w:cs="Times New Roman"/>
          <w:sz w:val="24"/>
          <w:szCs w:val="24"/>
          <w:lang w:val="en-US" w:eastAsia="ru-RU"/>
        </w:rPr>
        <w:t xml:space="preserve"> no expansion of the services volume</w:t>
      </w:r>
      <w:r w:rsidR="00287150">
        <w:rPr>
          <w:rFonts w:ascii="Times New Roman" w:eastAsia="Times New Roman" w:hAnsi="Times New Roman" w:cs="Times New Roman"/>
          <w:sz w:val="24"/>
          <w:szCs w:val="24"/>
          <w:lang w:val="en-US" w:eastAsia="ru-RU"/>
        </w:rPr>
        <w:t xml:space="preserve"> (see Fig. 3)</w:t>
      </w:r>
      <w:r w:rsidR="00E179BF" w:rsidRPr="00E179BF">
        <w:rPr>
          <w:rFonts w:ascii="Times New Roman" w:eastAsia="Times New Roman" w:hAnsi="Times New Roman" w:cs="Times New Roman"/>
          <w:sz w:val="24"/>
          <w:szCs w:val="24"/>
          <w:lang w:val="en-US" w:eastAsia="ru-RU"/>
        </w:rPr>
        <w:t xml:space="preserve">. </w:t>
      </w:r>
    </w:p>
    <w:p w:rsidR="0065203C" w:rsidRPr="005845B1" w:rsidRDefault="0065203C" w:rsidP="0065203C">
      <w:pPr>
        <w:keepNext/>
        <w:spacing w:after="0" w:line="360" w:lineRule="auto"/>
        <w:ind w:left="14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3B57DBC1">
            <wp:extent cx="4680000" cy="1809738"/>
            <wp:effectExtent l="0" t="0" r="635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809738"/>
                    </a:xfrm>
                    <a:prstGeom prst="rect">
                      <a:avLst/>
                    </a:prstGeom>
                    <a:noFill/>
                  </pic:spPr>
                </pic:pic>
              </a:graphicData>
            </a:graphic>
          </wp:inline>
        </w:drawing>
      </w:r>
    </w:p>
    <w:p w:rsidR="005845B1" w:rsidRPr="005845B1" w:rsidRDefault="005845B1" w:rsidP="005C151B">
      <w:pPr>
        <w:spacing w:after="240" w:line="240" w:lineRule="auto"/>
        <w:ind w:left="142"/>
        <w:jc w:val="both"/>
        <w:rPr>
          <w:rFonts w:ascii="Times New Roman" w:eastAsia="Times New Roman" w:hAnsi="Times New Roman" w:cs="Times New Roman"/>
          <w:b/>
          <w:lang w:val="en-US" w:eastAsia="ru-RU"/>
        </w:rPr>
      </w:pPr>
      <w:r w:rsidRPr="005845B1">
        <w:rPr>
          <w:rFonts w:ascii="Times New Roman" w:eastAsia="Times New Roman" w:hAnsi="Times New Roman" w:cs="Times New Roman"/>
          <w:b/>
          <w:lang w:val="en-US" w:eastAsia="ru-RU"/>
        </w:rPr>
        <w:t xml:space="preserve">Fig. </w:t>
      </w:r>
      <w:r w:rsidR="0065203C">
        <w:rPr>
          <w:rFonts w:ascii="Times New Roman" w:eastAsia="Times New Roman" w:hAnsi="Times New Roman" w:cs="Times New Roman"/>
          <w:b/>
          <w:lang w:val="en-US" w:eastAsia="ru-RU"/>
        </w:rPr>
        <w:t>3</w:t>
      </w:r>
      <w:r w:rsidRPr="005845B1">
        <w:rPr>
          <w:rFonts w:ascii="Times New Roman" w:eastAsia="Times New Roman" w:hAnsi="Times New Roman" w:cs="Times New Roman"/>
          <w:b/>
          <w:lang w:val="en-US" w:eastAsia="ru-RU"/>
        </w:rPr>
        <w:t xml:space="preserve">. </w:t>
      </w:r>
      <w:r w:rsidR="00E179BF">
        <w:rPr>
          <w:rFonts w:ascii="Times New Roman" w:eastAsia="Times New Roman" w:hAnsi="Times New Roman" w:cs="Times New Roman"/>
          <w:b/>
          <w:lang w:val="en-US" w:eastAsia="ru-RU"/>
        </w:rPr>
        <w:t>Past d</w:t>
      </w:r>
      <w:r w:rsidRPr="005845B1">
        <w:rPr>
          <w:rFonts w:ascii="Times New Roman" w:eastAsia="Times New Roman" w:hAnsi="Times New Roman" w:cs="Times New Roman"/>
          <w:b/>
          <w:lang w:val="en-US" w:eastAsia="ru-RU"/>
        </w:rPr>
        <w:t>emand for services</w:t>
      </w:r>
      <w:r w:rsidR="005C151B">
        <w:rPr>
          <w:rFonts w:ascii="Times New Roman" w:eastAsia="Times New Roman" w:hAnsi="Times New Roman" w:cs="Times New Roman"/>
          <w:b/>
          <w:lang w:val="en-US" w:eastAsia="ru-RU"/>
        </w:rPr>
        <w:t xml:space="preserve"> and the number of </w:t>
      </w:r>
      <w:r w:rsidR="00E179BF">
        <w:rPr>
          <w:rFonts w:ascii="Times New Roman" w:eastAsia="Times New Roman" w:hAnsi="Times New Roman" w:cs="Times New Roman"/>
          <w:b/>
          <w:lang w:val="en-US" w:eastAsia="ru-RU"/>
        </w:rPr>
        <w:t>customers</w:t>
      </w:r>
      <w:r w:rsidRPr="005845B1">
        <w:rPr>
          <w:rFonts w:ascii="Times New Roman" w:eastAsia="Times New Roman" w:hAnsi="Times New Roman" w:cs="Times New Roman"/>
          <w:b/>
          <w:lang w:val="en-US" w:eastAsia="ru-RU"/>
        </w:rPr>
        <w:t>; 2012 Q1-2017 Q4;</w:t>
      </w:r>
      <w:r w:rsidRPr="005845B1">
        <w:rPr>
          <w:lang w:val="en-US"/>
        </w:rPr>
        <w:t xml:space="preserve"> </w:t>
      </w:r>
      <w:r w:rsidRPr="005845B1">
        <w:rPr>
          <w:rFonts w:ascii="Times New Roman" w:eastAsia="Times New Roman" w:hAnsi="Times New Roman" w:cs="Times New Roman"/>
          <w:b/>
          <w:lang w:val="en-US" w:eastAsia="ru-RU"/>
        </w:rPr>
        <w:t>balances, %</w:t>
      </w:r>
    </w:p>
    <w:p w:rsidR="00B63C15" w:rsidRPr="0065203C" w:rsidRDefault="00B63C15" w:rsidP="00C66B3A">
      <w:pPr>
        <w:spacing w:after="0" w:line="360" w:lineRule="auto"/>
        <w:ind w:left="142" w:firstLine="709"/>
        <w:jc w:val="both"/>
        <w:rPr>
          <w:rFonts w:ascii="Times New Roman" w:eastAsia="Times New Roman" w:hAnsi="Times New Roman" w:cs="Times New Roman"/>
          <w:sz w:val="24"/>
          <w:szCs w:val="24"/>
          <w:lang w:val="en-US" w:eastAsia="ru-RU"/>
        </w:rPr>
      </w:pPr>
      <w:r w:rsidRPr="00B63C15">
        <w:rPr>
          <w:rFonts w:ascii="Times New Roman" w:eastAsia="Times New Roman" w:hAnsi="Times New Roman" w:cs="Times New Roman"/>
          <w:sz w:val="24"/>
          <w:szCs w:val="24"/>
          <w:lang w:val="en-US" w:eastAsia="ru-RU"/>
        </w:rPr>
        <w:t xml:space="preserve">The demand for </w:t>
      </w:r>
      <w:r w:rsidR="000E55B6" w:rsidRPr="000E55B6">
        <w:rPr>
          <w:rFonts w:ascii="Times New Roman" w:eastAsia="Times New Roman" w:hAnsi="Times New Roman" w:cs="Times New Roman"/>
          <w:sz w:val="24"/>
          <w:szCs w:val="24"/>
          <w:lang w:val="en-US" w:eastAsia="ru-RU"/>
        </w:rPr>
        <w:t>al</w:t>
      </w:r>
      <w:r w:rsidRPr="00B63C15">
        <w:rPr>
          <w:rFonts w:ascii="Times New Roman" w:eastAsia="Times New Roman" w:hAnsi="Times New Roman" w:cs="Times New Roman"/>
          <w:sz w:val="24"/>
          <w:szCs w:val="24"/>
          <w:lang w:val="en-US" w:eastAsia="ru-RU"/>
        </w:rPr>
        <w:t xml:space="preserve">most </w:t>
      </w:r>
      <w:r w:rsidR="000E55B6">
        <w:rPr>
          <w:rFonts w:ascii="Times New Roman" w:eastAsia="Times New Roman" w:hAnsi="Times New Roman" w:cs="Times New Roman"/>
          <w:sz w:val="24"/>
          <w:szCs w:val="24"/>
          <w:lang w:val="en-US" w:eastAsia="ru-RU"/>
        </w:rPr>
        <w:t xml:space="preserve">all </w:t>
      </w:r>
      <w:r w:rsidRPr="00B63C15">
        <w:rPr>
          <w:rFonts w:ascii="Times New Roman" w:eastAsia="Times New Roman" w:hAnsi="Times New Roman" w:cs="Times New Roman"/>
          <w:sz w:val="24"/>
          <w:szCs w:val="24"/>
          <w:lang w:val="en-US" w:eastAsia="ru-RU"/>
        </w:rPr>
        <w:t>observed services decrease</w:t>
      </w:r>
      <w:r w:rsidR="000E55B6">
        <w:rPr>
          <w:rFonts w:ascii="Times New Roman" w:eastAsia="Times New Roman" w:hAnsi="Times New Roman" w:cs="Times New Roman"/>
          <w:sz w:val="24"/>
          <w:szCs w:val="24"/>
          <w:lang w:val="en-US" w:eastAsia="ru-RU"/>
        </w:rPr>
        <w:t>s</w:t>
      </w:r>
      <w:r w:rsidRPr="00B63C15">
        <w:rPr>
          <w:rFonts w:ascii="Times New Roman" w:eastAsia="Times New Roman" w:hAnsi="Times New Roman" w:cs="Times New Roman"/>
          <w:sz w:val="24"/>
          <w:szCs w:val="24"/>
          <w:lang w:val="en-US" w:eastAsia="ru-RU"/>
        </w:rPr>
        <w:t>, except</w:t>
      </w:r>
      <w:r w:rsidR="000E55B6">
        <w:rPr>
          <w:rFonts w:ascii="Times New Roman" w:eastAsia="Times New Roman" w:hAnsi="Times New Roman" w:cs="Times New Roman"/>
          <w:sz w:val="24"/>
          <w:szCs w:val="24"/>
          <w:lang w:val="en-US" w:eastAsia="ru-RU"/>
        </w:rPr>
        <w:t xml:space="preserve">ing </w:t>
      </w:r>
      <w:r w:rsidRPr="00B63C15">
        <w:rPr>
          <w:rFonts w:ascii="Times New Roman" w:eastAsia="Times New Roman" w:hAnsi="Times New Roman" w:cs="Times New Roman"/>
          <w:sz w:val="24"/>
          <w:szCs w:val="24"/>
          <w:lang w:val="en-US" w:eastAsia="ru-RU"/>
        </w:rPr>
        <w:t xml:space="preserve">insurance where the </w:t>
      </w:r>
      <w:r w:rsidRPr="0065203C">
        <w:rPr>
          <w:rFonts w:ascii="Times New Roman" w:eastAsia="Times New Roman" w:hAnsi="Times New Roman" w:cs="Times New Roman"/>
          <w:sz w:val="24"/>
          <w:szCs w:val="24"/>
          <w:lang w:val="en-US" w:eastAsia="ru-RU"/>
        </w:rPr>
        <w:t>balance of</w:t>
      </w:r>
      <w:r w:rsidR="0065203C" w:rsidRPr="0065203C">
        <w:rPr>
          <w:rFonts w:ascii="Times New Roman" w:eastAsia="Times New Roman" w:hAnsi="Times New Roman" w:cs="Times New Roman"/>
          <w:sz w:val="24"/>
          <w:szCs w:val="24"/>
          <w:lang w:val="en-US" w:eastAsia="ru-RU"/>
        </w:rPr>
        <w:t xml:space="preserve"> the past demand </w:t>
      </w:r>
      <w:r w:rsidRPr="0065203C">
        <w:rPr>
          <w:rFonts w:ascii="Times New Roman" w:eastAsia="Times New Roman" w:hAnsi="Times New Roman" w:cs="Times New Roman"/>
          <w:sz w:val="24"/>
          <w:szCs w:val="24"/>
          <w:lang w:val="en-US" w:eastAsia="ru-RU"/>
        </w:rPr>
        <w:t xml:space="preserve">estimates </w:t>
      </w:r>
      <w:r w:rsidR="00407C4D">
        <w:rPr>
          <w:rFonts w:ascii="Times New Roman" w:eastAsia="Times New Roman" w:hAnsi="Times New Roman" w:cs="Times New Roman"/>
          <w:sz w:val="24"/>
          <w:szCs w:val="24"/>
          <w:lang w:val="en-US" w:eastAsia="ru-RU"/>
        </w:rPr>
        <w:t>is</w:t>
      </w:r>
      <w:r w:rsidRPr="0065203C">
        <w:rPr>
          <w:rFonts w:ascii="Times New Roman" w:eastAsia="Times New Roman" w:hAnsi="Times New Roman" w:cs="Times New Roman"/>
          <w:sz w:val="24"/>
          <w:szCs w:val="24"/>
          <w:lang w:val="en-US" w:eastAsia="ru-RU"/>
        </w:rPr>
        <w:t xml:space="preserve"> </w:t>
      </w:r>
      <w:r w:rsidR="00407C4D">
        <w:rPr>
          <w:rFonts w:ascii="Times New Roman" w:eastAsia="Times New Roman" w:hAnsi="Times New Roman" w:cs="Times New Roman"/>
          <w:sz w:val="24"/>
          <w:szCs w:val="24"/>
          <w:lang w:val="en-US" w:eastAsia="ru-RU"/>
        </w:rPr>
        <w:t xml:space="preserve">positive </w:t>
      </w:r>
      <w:r w:rsidR="0065203C" w:rsidRPr="0065203C">
        <w:rPr>
          <w:rFonts w:ascii="Times New Roman" w:eastAsia="Times New Roman" w:hAnsi="Times New Roman" w:cs="Times New Roman"/>
          <w:sz w:val="24"/>
          <w:szCs w:val="24"/>
          <w:lang w:val="en-US" w:eastAsia="ru-RU"/>
        </w:rPr>
        <w:t>(</w:t>
      </w:r>
      <w:r w:rsidRPr="0065203C">
        <w:rPr>
          <w:rFonts w:ascii="Times New Roman" w:eastAsia="Times New Roman" w:hAnsi="Times New Roman" w:cs="Times New Roman"/>
          <w:sz w:val="24"/>
          <w:szCs w:val="24"/>
          <w:lang w:val="en-US" w:eastAsia="ru-RU"/>
        </w:rPr>
        <w:t>+</w:t>
      </w:r>
      <w:r w:rsidRPr="00B63C15">
        <w:rPr>
          <w:rFonts w:ascii="Times New Roman" w:eastAsia="Times New Roman" w:hAnsi="Times New Roman" w:cs="Times New Roman"/>
          <w:sz w:val="24"/>
          <w:szCs w:val="24"/>
          <w:lang w:val="en-US" w:eastAsia="ru-RU"/>
        </w:rPr>
        <w:t>2%</w:t>
      </w:r>
      <w:r w:rsidR="0065203C">
        <w:rPr>
          <w:rFonts w:ascii="Times New Roman" w:eastAsia="Times New Roman" w:hAnsi="Times New Roman" w:cs="Times New Roman"/>
          <w:sz w:val="24"/>
          <w:szCs w:val="24"/>
          <w:lang w:val="en-US" w:eastAsia="ru-RU"/>
        </w:rPr>
        <w:t>)</w:t>
      </w:r>
      <w:r w:rsidRPr="00B63C15">
        <w:rPr>
          <w:rFonts w:ascii="Times New Roman" w:eastAsia="Times New Roman" w:hAnsi="Times New Roman" w:cs="Times New Roman"/>
          <w:sz w:val="24"/>
          <w:szCs w:val="24"/>
          <w:lang w:val="en-US" w:eastAsia="ru-RU"/>
        </w:rPr>
        <w:t xml:space="preserve">. On the contrary, the most intense negative trend </w:t>
      </w:r>
      <w:r>
        <w:rPr>
          <w:rFonts w:ascii="Times New Roman" w:eastAsia="Times New Roman" w:hAnsi="Times New Roman" w:cs="Times New Roman"/>
          <w:sz w:val="24"/>
          <w:szCs w:val="24"/>
          <w:lang w:val="en-US" w:eastAsia="ru-RU"/>
        </w:rPr>
        <w:t xml:space="preserve">we can see </w:t>
      </w:r>
      <w:r w:rsidR="000E55B6">
        <w:rPr>
          <w:rFonts w:ascii="Times New Roman" w:eastAsia="Times New Roman" w:hAnsi="Times New Roman" w:cs="Times New Roman"/>
          <w:sz w:val="24"/>
          <w:szCs w:val="24"/>
          <w:lang w:val="en-US" w:eastAsia="ru-RU"/>
        </w:rPr>
        <w:t xml:space="preserve">in </w:t>
      </w:r>
      <w:r w:rsidRPr="00B63C15">
        <w:rPr>
          <w:rFonts w:ascii="Times New Roman" w:eastAsia="Times New Roman" w:hAnsi="Times New Roman" w:cs="Times New Roman"/>
          <w:sz w:val="24"/>
          <w:szCs w:val="24"/>
          <w:lang w:val="en-US" w:eastAsia="ru-RU"/>
        </w:rPr>
        <w:t xml:space="preserve">advertising </w:t>
      </w:r>
      <w:r>
        <w:rPr>
          <w:rFonts w:ascii="Times New Roman" w:eastAsia="Times New Roman" w:hAnsi="Times New Roman" w:cs="Times New Roman"/>
          <w:sz w:val="24"/>
          <w:szCs w:val="24"/>
          <w:lang w:val="en-US" w:eastAsia="ru-RU"/>
        </w:rPr>
        <w:t xml:space="preserve">and market research as well as </w:t>
      </w:r>
      <w:r w:rsidR="0065203C">
        <w:rPr>
          <w:rFonts w:ascii="Times New Roman" w:eastAsia="Times New Roman" w:hAnsi="Times New Roman" w:cs="Times New Roman"/>
          <w:sz w:val="24"/>
          <w:szCs w:val="24"/>
          <w:lang w:val="en-US" w:eastAsia="ru-RU"/>
        </w:rPr>
        <w:t xml:space="preserve">in the </w:t>
      </w:r>
      <w:r w:rsidRPr="00B63C15">
        <w:rPr>
          <w:rFonts w:ascii="Times New Roman" w:eastAsia="Times New Roman" w:hAnsi="Times New Roman" w:cs="Times New Roman"/>
          <w:sz w:val="24"/>
          <w:szCs w:val="24"/>
          <w:lang w:val="en-US" w:eastAsia="ru-RU"/>
        </w:rPr>
        <w:t>real estate</w:t>
      </w:r>
      <w:r>
        <w:rPr>
          <w:rFonts w:ascii="Times New Roman" w:eastAsia="Times New Roman" w:hAnsi="Times New Roman" w:cs="Times New Roman"/>
          <w:sz w:val="24"/>
          <w:szCs w:val="24"/>
          <w:lang w:val="en-US" w:eastAsia="ru-RU"/>
        </w:rPr>
        <w:t xml:space="preserve"> activit</w:t>
      </w:r>
      <w:r w:rsidR="000E55B6">
        <w:rPr>
          <w:rFonts w:ascii="Times New Roman" w:eastAsia="Times New Roman" w:hAnsi="Times New Roman" w:cs="Times New Roman"/>
          <w:sz w:val="24"/>
          <w:szCs w:val="24"/>
          <w:lang w:val="en-US" w:eastAsia="ru-RU"/>
        </w:rPr>
        <w:t>y</w:t>
      </w:r>
      <w:r>
        <w:rPr>
          <w:rFonts w:ascii="Times New Roman" w:eastAsia="Times New Roman" w:hAnsi="Times New Roman" w:cs="Times New Roman"/>
          <w:sz w:val="24"/>
          <w:szCs w:val="24"/>
          <w:lang w:val="en-US" w:eastAsia="ru-RU"/>
        </w:rPr>
        <w:t>.</w:t>
      </w:r>
      <w:r w:rsidR="0065203C" w:rsidRPr="0065203C">
        <w:rPr>
          <w:lang w:val="en-US"/>
        </w:rPr>
        <w:t xml:space="preserve"> </w:t>
      </w:r>
      <w:r w:rsidR="0065203C" w:rsidRPr="0065203C">
        <w:rPr>
          <w:rFonts w:ascii="Times New Roman" w:eastAsia="Times New Roman" w:hAnsi="Times New Roman" w:cs="Times New Roman"/>
          <w:sz w:val="24"/>
          <w:szCs w:val="24"/>
          <w:lang w:val="en-US" w:eastAsia="ru-RU"/>
        </w:rPr>
        <w:t xml:space="preserve">The clients’ outflow </w:t>
      </w:r>
      <w:r w:rsidR="0065203C">
        <w:rPr>
          <w:rFonts w:ascii="Times New Roman" w:eastAsia="Times New Roman" w:hAnsi="Times New Roman" w:cs="Times New Roman"/>
          <w:sz w:val="24"/>
          <w:szCs w:val="24"/>
          <w:lang w:val="en-US" w:eastAsia="ru-RU"/>
        </w:rPr>
        <w:t xml:space="preserve">also </w:t>
      </w:r>
      <w:proofErr w:type="gramStart"/>
      <w:r w:rsidR="00407C4D">
        <w:rPr>
          <w:rFonts w:ascii="Times New Roman" w:eastAsia="Times New Roman" w:hAnsi="Times New Roman" w:cs="Times New Roman"/>
          <w:sz w:val="24"/>
          <w:szCs w:val="24"/>
          <w:lang w:val="en-US" w:eastAsia="ru-RU"/>
        </w:rPr>
        <w:t>is</w:t>
      </w:r>
      <w:r w:rsidR="0065203C" w:rsidRPr="0065203C">
        <w:rPr>
          <w:rFonts w:ascii="Times New Roman" w:eastAsia="Times New Roman" w:hAnsi="Times New Roman" w:cs="Times New Roman"/>
          <w:sz w:val="24"/>
          <w:szCs w:val="24"/>
          <w:lang w:val="en-US" w:eastAsia="ru-RU"/>
        </w:rPr>
        <w:t xml:space="preserve"> observed</w:t>
      </w:r>
      <w:proofErr w:type="gramEnd"/>
      <w:r w:rsidR="0065203C" w:rsidRPr="0065203C">
        <w:rPr>
          <w:rFonts w:ascii="Times New Roman" w:eastAsia="Times New Roman" w:hAnsi="Times New Roman" w:cs="Times New Roman"/>
          <w:sz w:val="24"/>
          <w:szCs w:val="24"/>
          <w:lang w:val="en-US" w:eastAsia="ru-RU"/>
        </w:rPr>
        <w:t xml:space="preserve"> in all the surveyed activities except insurance</w:t>
      </w:r>
      <w:r w:rsidR="000E402A">
        <w:rPr>
          <w:rFonts w:ascii="Times New Roman" w:eastAsia="Times New Roman" w:hAnsi="Times New Roman" w:cs="Times New Roman"/>
          <w:sz w:val="24"/>
          <w:szCs w:val="24"/>
          <w:lang w:val="en-US" w:eastAsia="ru-RU"/>
        </w:rPr>
        <w:t>;</w:t>
      </w:r>
      <w:r w:rsidR="0065203C" w:rsidRPr="0065203C">
        <w:rPr>
          <w:rFonts w:ascii="Times New Roman" w:eastAsia="Times New Roman" w:hAnsi="Times New Roman" w:cs="Times New Roman"/>
          <w:sz w:val="24"/>
          <w:szCs w:val="24"/>
          <w:lang w:val="en-US" w:eastAsia="ru-RU"/>
        </w:rPr>
        <w:t xml:space="preserve"> a zero balance of estimates </w:t>
      </w:r>
      <w:r w:rsidR="000E402A" w:rsidRPr="000E402A">
        <w:rPr>
          <w:rFonts w:ascii="Times New Roman" w:eastAsia="Times New Roman" w:hAnsi="Times New Roman" w:cs="Times New Roman"/>
          <w:sz w:val="24"/>
          <w:szCs w:val="24"/>
          <w:lang w:val="en-US" w:eastAsia="ru-RU"/>
        </w:rPr>
        <w:t xml:space="preserve">in </w:t>
      </w:r>
      <w:r w:rsidR="000E402A">
        <w:rPr>
          <w:rFonts w:ascii="Times New Roman" w:eastAsia="Times New Roman" w:hAnsi="Times New Roman" w:cs="Times New Roman"/>
          <w:sz w:val="24"/>
          <w:szCs w:val="24"/>
          <w:lang w:val="en-US" w:eastAsia="ru-RU"/>
        </w:rPr>
        <w:t xml:space="preserve">insurance </w:t>
      </w:r>
      <w:r w:rsidR="0065203C" w:rsidRPr="0065203C">
        <w:rPr>
          <w:rFonts w:ascii="Times New Roman" w:eastAsia="Times New Roman" w:hAnsi="Times New Roman" w:cs="Times New Roman"/>
          <w:sz w:val="24"/>
          <w:szCs w:val="24"/>
          <w:lang w:val="en-US" w:eastAsia="ru-RU"/>
        </w:rPr>
        <w:t>indicat</w:t>
      </w:r>
      <w:r w:rsidR="000E402A">
        <w:rPr>
          <w:rFonts w:ascii="Times New Roman" w:eastAsia="Times New Roman" w:hAnsi="Times New Roman" w:cs="Times New Roman"/>
          <w:sz w:val="24"/>
          <w:szCs w:val="24"/>
          <w:lang w:val="en-US" w:eastAsia="ru-RU"/>
        </w:rPr>
        <w:t>es</w:t>
      </w:r>
      <w:r w:rsidR="0065203C" w:rsidRPr="0065203C">
        <w:rPr>
          <w:rFonts w:ascii="Times New Roman" w:eastAsia="Times New Roman" w:hAnsi="Times New Roman" w:cs="Times New Roman"/>
          <w:sz w:val="24"/>
          <w:szCs w:val="24"/>
          <w:lang w:val="en-US" w:eastAsia="ru-RU"/>
        </w:rPr>
        <w:t xml:space="preserve"> stability of the services volume.</w:t>
      </w:r>
    </w:p>
    <w:p w:rsidR="00B63C15" w:rsidRDefault="00B63C15" w:rsidP="00C66B3A">
      <w:pPr>
        <w:spacing w:after="0" w:line="360" w:lineRule="auto"/>
        <w:ind w:left="142" w:firstLine="709"/>
        <w:jc w:val="both"/>
        <w:rPr>
          <w:rFonts w:ascii="Times New Roman" w:eastAsia="Times New Roman" w:hAnsi="Times New Roman" w:cs="Times New Roman"/>
          <w:sz w:val="24"/>
          <w:szCs w:val="24"/>
          <w:lang w:val="en-US" w:eastAsia="ru-RU"/>
        </w:rPr>
      </w:pPr>
      <w:r w:rsidRPr="00B63C15">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 xml:space="preserve">shortage </w:t>
      </w:r>
      <w:r w:rsidRPr="00B63C15">
        <w:rPr>
          <w:rFonts w:ascii="Times New Roman" w:eastAsia="Times New Roman" w:hAnsi="Times New Roman" w:cs="Times New Roman"/>
          <w:sz w:val="24"/>
          <w:szCs w:val="24"/>
          <w:lang w:val="en-US" w:eastAsia="ru-RU"/>
        </w:rPr>
        <w:t xml:space="preserve">of effective demand, </w:t>
      </w:r>
      <w:r>
        <w:rPr>
          <w:rFonts w:ascii="Times New Roman" w:eastAsia="Times New Roman" w:hAnsi="Times New Roman" w:cs="Times New Roman"/>
          <w:sz w:val="24"/>
          <w:szCs w:val="24"/>
          <w:lang w:val="en-US" w:eastAsia="ru-RU"/>
        </w:rPr>
        <w:t xml:space="preserve">according to the </w:t>
      </w:r>
      <w:r w:rsidRPr="00B63C15">
        <w:rPr>
          <w:rFonts w:ascii="Times New Roman" w:eastAsia="Times New Roman" w:hAnsi="Times New Roman" w:cs="Times New Roman"/>
          <w:sz w:val="24"/>
          <w:szCs w:val="24"/>
          <w:lang w:val="en-US" w:eastAsia="ru-RU"/>
        </w:rPr>
        <w:t>entrepreneur</w:t>
      </w:r>
      <w:r>
        <w:rPr>
          <w:rFonts w:ascii="Times New Roman" w:eastAsia="Times New Roman" w:hAnsi="Times New Roman" w:cs="Times New Roman"/>
          <w:sz w:val="24"/>
          <w:szCs w:val="24"/>
          <w:lang w:val="en-US" w:eastAsia="ru-RU"/>
        </w:rPr>
        <w:t>ial opinions</w:t>
      </w:r>
      <w:r w:rsidRPr="00B63C15">
        <w:rPr>
          <w:rFonts w:ascii="Times New Roman" w:eastAsia="Times New Roman" w:hAnsi="Times New Roman" w:cs="Times New Roman"/>
          <w:sz w:val="24"/>
          <w:szCs w:val="24"/>
          <w:lang w:val="en-US" w:eastAsia="ru-RU"/>
        </w:rPr>
        <w:t xml:space="preserve">, </w:t>
      </w:r>
      <w:r w:rsidR="00407C4D">
        <w:rPr>
          <w:rFonts w:ascii="Times New Roman" w:eastAsia="Times New Roman" w:hAnsi="Times New Roman" w:cs="Times New Roman"/>
          <w:sz w:val="24"/>
          <w:szCs w:val="24"/>
          <w:lang w:val="en-US" w:eastAsia="ru-RU"/>
        </w:rPr>
        <w:t xml:space="preserve">is </w:t>
      </w:r>
      <w:r w:rsidRPr="00B63C15">
        <w:rPr>
          <w:rFonts w:ascii="Times New Roman" w:eastAsia="Times New Roman" w:hAnsi="Times New Roman" w:cs="Times New Roman"/>
          <w:sz w:val="24"/>
          <w:szCs w:val="24"/>
          <w:lang w:val="en-US" w:eastAsia="ru-RU"/>
        </w:rPr>
        <w:t>a key factor limiting business; 47% of respondents</w:t>
      </w:r>
      <w:r w:rsidR="00407C4D">
        <w:rPr>
          <w:rFonts w:ascii="Times New Roman" w:eastAsia="Times New Roman" w:hAnsi="Times New Roman" w:cs="Times New Roman"/>
          <w:sz w:val="24"/>
          <w:szCs w:val="24"/>
          <w:lang w:val="en-US" w:eastAsia="ru-RU"/>
        </w:rPr>
        <w:t xml:space="preserve"> note</w:t>
      </w:r>
      <w:r w:rsidRPr="00407C4D">
        <w:rPr>
          <w:rFonts w:ascii="Times New Roman" w:eastAsia="Times New Roman" w:hAnsi="Times New Roman" w:cs="Times New Roman"/>
          <w:sz w:val="24"/>
          <w:szCs w:val="24"/>
          <w:lang w:val="en-US" w:eastAsia="ru-RU"/>
        </w:rPr>
        <w:t xml:space="preserve"> </w:t>
      </w:r>
      <w:r w:rsidR="00407C4D" w:rsidRPr="00407C4D">
        <w:rPr>
          <w:rFonts w:ascii="Times New Roman" w:eastAsia="Times New Roman" w:hAnsi="Times New Roman" w:cs="Times New Roman"/>
          <w:sz w:val="24"/>
          <w:szCs w:val="24"/>
          <w:lang w:val="en-US" w:eastAsia="ru-RU"/>
        </w:rPr>
        <w:t xml:space="preserve">its negative impact </w:t>
      </w:r>
      <w:r w:rsidRPr="00B63C15">
        <w:rPr>
          <w:rFonts w:ascii="Times New Roman" w:eastAsia="Times New Roman" w:hAnsi="Times New Roman" w:cs="Times New Roman"/>
          <w:sz w:val="24"/>
          <w:szCs w:val="24"/>
          <w:lang w:val="en-US" w:eastAsia="ru-RU"/>
        </w:rPr>
        <w:t>in 2017. In the segments of real estate activit</w:t>
      </w:r>
      <w:r w:rsidR="0065203C">
        <w:rPr>
          <w:rFonts w:ascii="Times New Roman" w:eastAsia="Times New Roman" w:hAnsi="Times New Roman" w:cs="Times New Roman"/>
          <w:sz w:val="24"/>
          <w:szCs w:val="24"/>
          <w:lang w:val="en-US" w:eastAsia="ru-RU"/>
        </w:rPr>
        <w:t>y</w:t>
      </w:r>
      <w:r w:rsidRPr="00B63C15">
        <w:rPr>
          <w:rFonts w:ascii="Times New Roman" w:eastAsia="Times New Roman" w:hAnsi="Times New Roman" w:cs="Times New Roman"/>
          <w:sz w:val="24"/>
          <w:szCs w:val="24"/>
          <w:lang w:val="en-US" w:eastAsia="ru-RU"/>
        </w:rPr>
        <w:t xml:space="preserve">, this problem </w:t>
      </w:r>
      <w:proofErr w:type="gramStart"/>
      <w:r w:rsidR="00407C4D">
        <w:rPr>
          <w:rFonts w:ascii="Times New Roman" w:eastAsia="Times New Roman" w:hAnsi="Times New Roman" w:cs="Times New Roman"/>
          <w:sz w:val="24"/>
          <w:szCs w:val="24"/>
          <w:lang w:val="en-US" w:eastAsia="ru-RU"/>
        </w:rPr>
        <w:t>is</w:t>
      </w:r>
      <w:r w:rsidRPr="00B63C15">
        <w:rPr>
          <w:rFonts w:ascii="Times New Roman" w:eastAsia="Times New Roman" w:hAnsi="Times New Roman" w:cs="Times New Roman"/>
          <w:sz w:val="24"/>
          <w:szCs w:val="24"/>
          <w:lang w:val="en-US" w:eastAsia="ru-RU"/>
        </w:rPr>
        <w:t xml:space="preserve"> highlighted</w:t>
      </w:r>
      <w:proofErr w:type="gramEnd"/>
      <w:r w:rsidRPr="00B63C15">
        <w:rPr>
          <w:rFonts w:ascii="Times New Roman" w:eastAsia="Times New Roman" w:hAnsi="Times New Roman" w:cs="Times New Roman"/>
          <w:sz w:val="24"/>
          <w:szCs w:val="24"/>
          <w:lang w:val="en-US" w:eastAsia="ru-RU"/>
        </w:rPr>
        <w:t xml:space="preserve"> by 6</w:t>
      </w:r>
      <w:r w:rsidR="0065203C">
        <w:rPr>
          <w:rFonts w:ascii="Times New Roman" w:eastAsia="Times New Roman" w:hAnsi="Times New Roman" w:cs="Times New Roman"/>
          <w:sz w:val="24"/>
          <w:szCs w:val="24"/>
          <w:lang w:val="en-US" w:eastAsia="ru-RU"/>
        </w:rPr>
        <w:t>6</w:t>
      </w:r>
      <w:r w:rsidRPr="00B63C15">
        <w:rPr>
          <w:rFonts w:ascii="Times New Roman" w:eastAsia="Times New Roman" w:hAnsi="Times New Roman" w:cs="Times New Roman"/>
          <w:sz w:val="24"/>
          <w:szCs w:val="24"/>
          <w:lang w:val="en-US" w:eastAsia="ru-RU"/>
        </w:rPr>
        <w:t>% of entrepreneurs</w:t>
      </w:r>
      <w:r w:rsidR="0065203C">
        <w:rPr>
          <w:rFonts w:ascii="Times New Roman" w:eastAsia="Times New Roman" w:hAnsi="Times New Roman" w:cs="Times New Roman"/>
          <w:sz w:val="24"/>
          <w:szCs w:val="24"/>
          <w:lang w:val="en-US" w:eastAsia="ru-RU"/>
        </w:rPr>
        <w:t>;</w:t>
      </w:r>
      <w:r w:rsidRPr="00770D58">
        <w:rPr>
          <w:rFonts w:ascii="Times New Roman" w:eastAsia="Times New Roman" w:hAnsi="Times New Roman" w:cs="Times New Roman"/>
          <w:sz w:val="24"/>
          <w:szCs w:val="24"/>
          <w:lang w:val="en-US" w:eastAsia="ru-RU"/>
        </w:rPr>
        <w:t xml:space="preserve"> </w:t>
      </w:r>
      <w:r w:rsidR="0065203C">
        <w:rPr>
          <w:rFonts w:ascii="Times New Roman" w:eastAsia="Times New Roman" w:hAnsi="Times New Roman" w:cs="Times New Roman"/>
          <w:sz w:val="24"/>
          <w:szCs w:val="24"/>
          <w:lang w:val="en-US" w:eastAsia="ru-RU"/>
        </w:rPr>
        <w:t>o</w:t>
      </w:r>
      <w:r w:rsidRPr="00770D58">
        <w:rPr>
          <w:rFonts w:ascii="Times New Roman" w:eastAsia="Times New Roman" w:hAnsi="Times New Roman" w:cs="Times New Roman"/>
          <w:sz w:val="24"/>
          <w:szCs w:val="24"/>
          <w:lang w:val="en-US" w:eastAsia="ru-RU"/>
        </w:rPr>
        <w:t xml:space="preserve">ver the last year, the </w:t>
      </w:r>
      <w:r w:rsidR="00770D58">
        <w:rPr>
          <w:rFonts w:ascii="Times New Roman" w:eastAsia="Times New Roman" w:hAnsi="Times New Roman" w:cs="Times New Roman"/>
          <w:sz w:val="24"/>
          <w:szCs w:val="24"/>
          <w:lang w:val="en-US" w:eastAsia="ru-RU"/>
        </w:rPr>
        <w:t xml:space="preserve">share of </w:t>
      </w:r>
      <w:r w:rsidRPr="00770D58">
        <w:rPr>
          <w:rFonts w:ascii="Times New Roman" w:eastAsia="Times New Roman" w:hAnsi="Times New Roman" w:cs="Times New Roman"/>
          <w:sz w:val="24"/>
          <w:szCs w:val="24"/>
          <w:lang w:val="en-US" w:eastAsia="ru-RU"/>
        </w:rPr>
        <w:t>such opinion</w:t>
      </w:r>
      <w:r w:rsidR="0065203C">
        <w:rPr>
          <w:rFonts w:ascii="Times New Roman" w:eastAsia="Times New Roman" w:hAnsi="Times New Roman" w:cs="Times New Roman"/>
          <w:sz w:val="24"/>
          <w:szCs w:val="24"/>
          <w:lang w:val="en-US" w:eastAsia="ru-RU"/>
        </w:rPr>
        <w:t>s</w:t>
      </w:r>
      <w:r w:rsidRPr="00770D58">
        <w:rPr>
          <w:rFonts w:ascii="Times New Roman" w:eastAsia="Times New Roman" w:hAnsi="Times New Roman" w:cs="Times New Roman"/>
          <w:sz w:val="24"/>
          <w:szCs w:val="24"/>
          <w:lang w:val="en-US" w:eastAsia="ru-RU"/>
        </w:rPr>
        <w:t xml:space="preserve"> has </w:t>
      </w:r>
      <w:r w:rsidR="0065203C">
        <w:rPr>
          <w:rFonts w:ascii="Times New Roman" w:eastAsia="Times New Roman" w:hAnsi="Times New Roman" w:cs="Times New Roman"/>
          <w:sz w:val="24"/>
          <w:szCs w:val="24"/>
          <w:lang w:val="en-US" w:eastAsia="ru-RU"/>
        </w:rPr>
        <w:t>increased by 7 points</w:t>
      </w:r>
      <w:r w:rsidRPr="00770D58">
        <w:rPr>
          <w:rFonts w:ascii="Times New Roman" w:eastAsia="Times New Roman" w:hAnsi="Times New Roman" w:cs="Times New Roman"/>
          <w:sz w:val="24"/>
          <w:szCs w:val="24"/>
          <w:lang w:val="en-US" w:eastAsia="ru-RU"/>
        </w:rPr>
        <w:t xml:space="preserve"> confirming the fall in the real estate market </w:t>
      </w:r>
      <w:r w:rsidR="0065203C">
        <w:rPr>
          <w:rFonts w:ascii="Times New Roman" w:eastAsia="Times New Roman" w:hAnsi="Times New Roman" w:cs="Times New Roman"/>
          <w:sz w:val="24"/>
          <w:szCs w:val="24"/>
          <w:lang w:val="en-US" w:eastAsia="ru-RU"/>
        </w:rPr>
        <w:t xml:space="preserve">linked to </w:t>
      </w:r>
      <w:r w:rsidRPr="00770D58">
        <w:rPr>
          <w:rFonts w:ascii="Times New Roman" w:eastAsia="Times New Roman" w:hAnsi="Times New Roman" w:cs="Times New Roman"/>
          <w:sz w:val="24"/>
          <w:szCs w:val="24"/>
          <w:lang w:val="en-US" w:eastAsia="ru-RU"/>
        </w:rPr>
        <w:t xml:space="preserve">permanent decline in </w:t>
      </w:r>
      <w:r w:rsidR="0065203C">
        <w:rPr>
          <w:rFonts w:ascii="Times New Roman" w:eastAsia="Times New Roman" w:hAnsi="Times New Roman" w:cs="Times New Roman"/>
          <w:sz w:val="24"/>
          <w:szCs w:val="24"/>
          <w:lang w:val="en-US" w:eastAsia="ru-RU"/>
        </w:rPr>
        <w:t xml:space="preserve">the household </w:t>
      </w:r>
      <w:r w:rsidRPr="00770D58">
        <w:rPr>
          <w:rFonts w:ascii="Times New Roman" w:eastAsia="Times New Roman" w:hAnsi="Times New Roman" w:cs="Times New Roman"/>
          <w:sz w:val="24"/>
          <w:szCs w:val="24"/>
          <w:lang w:val="en-US" w:eastAsia="ru-RU"/>
        </w:rPr>
        <w:t>incomes.</w:t>
      </w:r>
    </w:p>
    <w:p w:rsidR="00287150" w:rsidRPr="00287150" w:rsidRDefault="00287150" w:rsidP="00CC2386">
      <w:pPr>
        <w:keepNext/>
        <w:spacing w:after="60" w:line="240" w:lineRule="auto"/>
        <w:jc w:val="center"/>
        <w:rPr>
          <w:rFonts w:ascii="OfficinaSansCTT" w:eastAsia="Times New Roman" w:hAnsi="OfficinaSansCTT" w:cs="Times New Roman"/>
          <w:i/>
          <w:lang w:val="en-US"/>
        </w:rPr>
      </w:pPr>
      <w:r>
        <w:rPr>
          <w:rFonts w:ascii="OfficinaSansCTT" w:eastAsia="Times New Roman" w:hAnsi="OfficinaSansCTT" w:cs="Times New Roman"/>
          <w:i/>
          <w:noProof/>
          <w:lang w:eastAsia="ru-RU"/>
        </w:rPr>
        <w:drawing>
          <wp:inline distT="0" distB="0" distL="0" distR="0" wp14:anchorId="53307A05">
            <wp:extent cx="4680000" cy="2415798"/>
            <wp:effectExtent l="0" t="0" r="635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415798"/>
                    </a:xfrm>
                    <a:prstGeom prst="rect">
                      <a:avLst/>
                    </a:prstGeom>
                    <a:noFill/>
                  </pic:spPr>
                </pic:pic>
              </a:graphicData>
            </a:graphic>
          </wp:inline>
        </w:drawing>
      </w:r>
    </w:p>
    <w:p w:rsidR="00770D58" w:rsidRPr="00770D58" w:rsidRDefault="00287150" w:rsidP="00F357C0">
      <w:pPr>
        <w:spacing w:after="240" w:line="240" w:lineRule="auto"/>
        <w:ind w:left="142"/>
        <w:jc w:val="both"/>
        <w:rPr>
          <w:rFonts w:ascii="Times New Roman" w:eastAsia="Times New Roman" w:hAnsi="Times New Roman" w:cs="Times New Roman"/>
          <w:sz w:val="24"/>
          <w:szCs w:val="24"/>
          <w:lang w:val="en-US" w:eastAsia="ru-RU"/>
        </w:rPr>
      </w:pPr>
      <w:r w:rsidRPr="005845B1">
        <w:rPr>
          <w:rFonts w:ascii="Times New Roman" w:eastAsia="Times New Roman" w:hAnsi="Times New Roman" w:cs="Times New Roman"/>
          <w:b/>
          <w:lang w:val="en-US" w:eastAsia="ru-RU"/>
        </w:rPr>
        <w:t xml:space="preserve">Fig. </w:t>
      </w:r>
      <w:r>
        <w:rPr>
          <w:rFonts w:ascii="Times New Roman" w:eastAsia="Times New Roman" w:hAnsi="Times New Roman" w:cs="Times New Roman"/>
          <w:b/>
          <w:lang w:val="en-US" w:eastAsia="ru-RU"/>
        </w:rPr>
        <w:t>4</w:t>
      </w:r>
      <w:r w:rsidRPr="005845B1">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Limiting factor «</w:t>
      </w:r>
      <w:r w:rsidR="00F357C0">
        <w:rPr>
          <w:rFonts w:ascii="Times New Roman" w:eastAsia="Times New Roman" w:hAnsi="Times New Roman" w:cs="Times New Roman"/>
          <w:b/>
          <w:lang w:val="en-US" w:eastAsia="ru-RU"/>
        </w:rPr>
        <w:t>i</w:t>
      </w:r>
      <w:r>
        <w:rPr>
          <w:rFonts w:ascii="Times New Roman" w:eastAsia="Times New Roman" w:hAnsi="Times New Roman" w:cs="Times New Roman"/>
          <w:b/>
          <w:lang w:val="en-US" w:eastAsia="ru-RU"/>
        </w:rPr>
        <w:t>nsufficient demand;</w:t>
      </w:r>
      <w:r w:rsidRPr="005845B1">
        <w:rPr>
          <w:rFonts w:ascii="Times New Roman" w:eastAsia="Times New Roman" w:hAnsi="Times New Roman" w:cs="Times New Roman"/>
          <w:b/>
          <w:lang w:val="en-US" w:eastAsia="ru-RU"/>
        </w:rPr>
        <w:t xml:space="preserve"> 201</w:t>
      </w:r>
      <w:r>
        <w:rPr>
          <w:rFonts w:ascii="Times New Roman" w:eastAsia="Times New Roman" w:hAnsi="Times New Roman" w:cs="Times New Roman"/>
          <w:b/>
          <w:lang w:val="en-US" w:eastAsia="ru-RU"/>
        </w:rPr>
        <w:t>7</w:t>
      </w:r>
      <w:r w:rsidRPr="005845B1">
        <w:rPr>
          <w:rFonts w:ascii="Times New Roman" w:eastAsia="Times New Roman" w:hAnsi="Times New Roman" w:cs="Times New Roman"/>
          <w:b/>
          <w:lang w:val="en-US" w:eastAsia="ru-RU"/>
        </w:rPr>
        <w:t> Q</w:t>
      </w:r>
      <w:r>
        <w:rPr>
          <w:rFonts w:ascii="Times New Roman" w:eastAsia="Times New Roman" w:hAnsi="Times New Roman" w:cs="Times New Roman"/>
          <w:b/>
          <w:lang w:val="en-US" w:eastAsia="ru-RU"/>
        </w:rPr>
        <w:t>4</w:t>
      </w:r>
      <w:r w:rsidRPr="005845B1">
        <w:rPr>
          <w:rFonts w:ascii="Times New Roman" w:eastAsia="Times New Roman" w:hAnsi="Times New Roman" w:cs="Times New Roman"/>
          <w:b/>
          <w:lang w:val="en-US" w:eastAsia="ru-RU"/>
        </w:rPr>
        <w:t>;</w:t>
      </w:r>
      <w:r w:rsidRPr="005845B1">
        <w:rPr>
          <w:lang w:val="en-US"/>
        </w:rPr>
        <w:t xml:space="preserve"> </w:t>
      </w:r>
      <w:r w:rsidRPr="005845B1">
        <w:rPr>
          <w:rFonts w:ascii="Times New Roman" w:eastAsia="Times New Roman" w:hAnsi="Times New Roman" w:cs="Times New Roman"/>
          <w:b/>
          <w:lang w:val="en-US" w:eastAsia="ru-RU"/>
        </w:rPr>
        <w:t>%</w:t>
      </w:r>
    </w:p>
    <w:p w:rsidR="00E179BF" w:rsidRDefault="005C151B" w:rsidP="00E179BF">
      <w:pPr>
        <w:spacing w:after="0" w:line="360" w:lineRule="auto"/>
        <w:ind w:left="142" w:firstLine="709"/>
        <w:jc w:val="both"/>
        <w:rPr>
          <w:rFonts w:ascii="Times New Roman" w:eastAsia="Times New Roman" w:hAnsi="Times New Roman" w:cs="Times New Roman"/>
          <w:sz w:val="24"/>
          <w:szCs w:val="24"/>
          <w:lang w:val="en-US" w:eastAsia="ru-RU"/>
        </w:rPr>
      </w:pPr>
      <w:r w:rsidRPr="005C151B">
        <w:rPr>
          <w:rFonts w:ascii="Times New Roman" w:eastAsia="Times New Roman" w:hAnsi="Times New Roman" w:cs="Times New Roman"/>
          <w:sz w:val="24"/>
          <w:szCs w:val="24"/>
          <w:lang w:val="en-US" w:eastAsia="ru-RU"/>
        </w:rPr>
        <w:t xml:space="preserve">The </w:t>
      </w:r>
      <w:r w:rsidRPr="00786594">
        <w:rPr>
          <w:rFonts w:ascii="Times New Roman" w:eastAsia="Times New Roman" w:hAnsi="Times New Roman" w:cs="Times New Roman"/>
          <w:i/>
          <w:sz w:val="24"/>
          <w:szCs w:val="24"/>
          <w:lang w:val="en-US" w:eastAsia="ru-RU"/>
        </w:rPr>
        <w:t>employment</w:t>
      </w:r>
      <w:r>
        <w:rPr>
          <w:rFonts w:ascii="Times New Roman" w:eastAsia="Times New Roman" w:hAnsi="Times New Roman" w:cs="Times New Roman"/>
          <w:sz w:val="24"/>
          <w:szCs w:val="24"/>
          <w:lang w:val="en-US" w:eastAsia="ru-RU"/>
        </w:rPr>
        <w:t xml:space="preserve"> </w:t>
      </w:r>
      <w:r w:rsidRPr="005C151B">
        <w:rPr>
          <w:rFonts w:ascii="Times New Roman" w:eastAsia="Times New Roman" w:hAnsi="Times New Roman" w:cs="Times New Roman"/>
          <w:sz w:val="24"/>
          <w:szCs w:val="24"/>
          <w:lang w:val="en-US" w:eastAsia="ru-RU"/>
        </w:rPr>
        <w:t>in service</w:t>
      </w:r>
      <w:r>
        <w:rPr>
          <w:rFonts w:ascii="Times New Roman" w:eastAsia="Times New Roman" w:hAnsi="Times New Roman" w:cs="Times New Roman"/>
          <w:sz w:val="24"/>
          <w:szCs w:val="24"/>
          <w:lang w:val="en-US" w:eastAsia="ru-RU"/>
        </w:rPr>
        <w:t>s</w:t>
      </w:r>
      <w:r w:rsidRPr="005C151B">
        <w:rPr>
          <w:rFonts w:ascii="Times New Roman" w:eastAsia="Times New Roman" w:hAnsi="Times New Roman" w:cs="Times New Roman"/>
          <w:sz w:val="24"/>
          <w:szCs w:val="24"/>
          <w:lang w:val="en-US" w:eastAsia="ru-RU"/>
        </w:rPr>
        <w:t xml:space="preserve"> decrease</w:t>
      </w:r>
      <w:r w:rsidR="00F357C0">
        <w:rPr>
          <w:rFonts w:ascii="Times New Roman" w:eastAsia="Times New Roman" w:hAnsi="Times New Roman" w:cs="Times New Roman"/>
          <w:sz w:val="24"/>
          <w:szCs w:val="24"/>
          <w:lang w:val="en-US" w:eastAsia="ru-RU"/>
        </w:rPr>
        <w:t>s</w:t>
      </w:r>
      <w:r w:rsidRPr="005C151B">
        <w:rPr>
          <w:rFonts w:ascii="Times New Roman" w:eastAsia="Times New Roman" w:hAnsi="Times New Roman" w:cs="Times New Roman"/>
          <w:sz w:val="24"/>
          <w:szCs w:val="24"/>
          <w:lang w:val="en-US" w:eastAsia="ru-RU"/>
        </w:rPr>
        <w:t xml:space="preserve"> </w:t>
      </w:r>
      <w:r w:rsidR="00F357C0">
        <w:rPr>
          <w:rFonts w:ascii="Times New Roman" w:eastAsia="Times New Roman" w:hAnsi="Times New Roman" w:cs="Times New Roman"/>
          <w:sz w:val="24"/>
          <w:szCs w:val="24"/>
          <w:lang w:val="en-US" w:eastAsia="ru-RU"/>
        </w:rPr>
        <w:t>in</w:t>
      </w:r>
      <w:r w:rsidRPr="005C151B">
        <w:rPr>
          <w:rFonts w:ascii="Times New Roman" w:eastAsia="Times New Roman" w:hAnsi="Times New Roman" w:cs="Times New Roman"/>
          <w:sz w:val="24"/>
          <w:szCs w:val="24"/>
          <w:lang w:val="en-US" w:eastAsia="ru-RU"/>
        </w:rPr>
        <w:t xml:space="preserve"> </w:t>
      </w:r>
      <w:r w:rsidR="000E402A">
        <w:rPr>
          <w:rFonts w:ascii="Times New Roman" w:eastAsia="Times New Roman" w:hAnsi="Times New Roman" w:cs="Times New Roman"/>
          <w:sz w:val="24"/>
          <w:szCs w:val="24"/>
          <w:lang w:val="en-US" w:eastAsia="ru-RU"/>
        </w:rPr>
        <w:t xml:space="preserve">every quarter of </w:t>
      </w:r>
      <w:r w:rsidRPr="005C151B">
        <w:rPr>
          <w:rFonts w:ascii="Times New Roman" w:eastAsia="Times New Roman" w:hAnsi="Times New Roman" w:cs="Times New Roman"/>
          <w:sz w:val="24"/>
          <w:szCs w:val="24"/>
          <w:lang w:val="en-US" w:eastAsia="ru-RU"/>
        </w:rPr>
        <w:t xml:space="preserve">2017 with the </w:t>
      </w:r>
      <w:r w:rsidR="00F357C0">
        <w:rPr>
          <w:rFonts w:ascii="Times New Roman" w:eastAsia="Times New Roman" w:hAnsi="Times New Roman" w:cs="Times New Roman"/>
          <w:sz w:val="24"/>
          <w:szCs w:val="24"/>
          <w:lang w:val="en-US" w:eastAsia="ru-RU"/>
        </w:rPr>
        <w:t xml:space="preserve">equal </w:t>
      </w:r>
      <w:r w:rsidRPr="005C151B">
        <w:rPr>
          <w:rFonts w:ascii="Times New Roman" w:eastAsia="Times New Roman" w:hAnsi="Times New Roman" w:cs="Times New Roman"/>
          <w:sz w:val="24"/>
          <w:szCs w:val="24"/>
          <w:lang w:val="en-US" w:eastAsia="ru-RU"/>
        </w:rPr>
        <w:t>intensity</w:t>
      </w:r>
      <w:proofErr w:type="gramStart"/>
      <w:r w:rsidRPr="005C151B">
        <w:rPr>
          <w:rFonts w:ascii="Times New Roman" w:eastAsia="Times New Roman" w:hAnsi="Times New Roman" w:cs="Times New Roman"/>
          <w:sz w:val="24"/>
          <w:szCs w:val="24"/>
          <w:lang w:val="en-US" w:eastAsia="ru-RU"/>
        </w:rPr>
        <w:t>;</w:t>
      </w:r>
      <w:proofErr w:type="gramEnd"/>
      <w:r w:rsidRPr="005C151B">
        <w:rPr>
          <w:rFonts w:ascii="Times New Roman" w:eastAsia="Times New Roman" w:hAnsi="Times New Roman" w:cs="Times New Roman"/>
          <w:sz w:val="24"/>
          <w:szCs w:val="24"/>
          <w:lang w:val="en-US" w:eastAsia="ru-RU"/>
        </w:rPr>
        <w:t xml:space="preserve"> balance of </w:t>
      </w:r>
      <w:r w:rsidR="00287150">
        <w:rPr>
          <w:rFonts w:ascii="Times New Roman" w:eastAsia="Times New Roman" w:hAnsi="Times New Roman" w:cs="Times New Roman"/>
          <w:sz w:val="24"/>
          <w:szCs w:val="24"/>
          <w:lang w:val="en-US" w:eastAsia="ru-RU"/>
        </w:rPr>
        <w:t xml:space="preserve">the past </w:t>
      </w:r>
      <w:r w:rsidRPr="005C151B">
        <w:rPr>
          <w:rFonts w:ascii="Times New Roman" w:eastAsia="Times New Roman" w:hAnsi="Times New Roman" w:cs="Times New Roman"/>
          <w:sz w:val="24"/>
          <w:szCs w:val="24"/>
          <w:lang w:val="en-US" w:eastAsia="ru-RU"/>
        </w:rPr>
        <w:t xml:space="preserve">employees number </w:t>
      </w:r>
      <w:r w:rsidR="00287150">
        <w:rPr>
          <w:rFonts w:ascii="Times New Roman" w:eastAsia="Times New Roman" w:hAnsi="Times New Roman" w:cs="Times New Roman"/>
          <w:sz w:val="24"/>
          <w:szCs w:val="24"/>
          <w:lang w:val="en-US" w:eastAsia="ru-RU"/>
        </w:rPr>
        <w:t xml:space="preserve">assessments </w:t>
      </w:r>
      <w:r w:rsidR="00F357C0">
        <w:rPr>
          <w:rFonts w:ascii="Times New Roman" w:eastAsia="Times New Roman" w:hAnsi="Times New Roman" w:cs="Times New Roman"/>
          <w:sz w:val="24"/>
          <w:szCs w:val="24"/>
          <w:lang w:val="en-US" w:eastAsia="ru-RU"/>
        </w:rPr>
        <w:t>maintains</w:t>
      </w:r>
      <w:r>
        <w:rPr>
          <w:rFonts w:ascii="Times New Roman" w:eastAsia="Times New Roman" w:hAnsi="Times New Roman" w:cs="Times New Roman"/>
          <w:sz w:val="24"/>
          <w:szCs w:val="24"/>
          <w:lang w:val="en-US" w:eastAsia="ru-RU"/>
        </w:rPr>
        <w:t xml:space="preserve"> the same </w:t>
      </w:r>
      <w:r w:rsidRPr="005C151B">
        <w:rPr>
          <w:rFonts w:ascii="Times New Roman" w:eastAsia="Times New Roman" w:hAnsi="Times New Roman" w:cs="Times New Roman"/>
          <w:sz w:val="24"/>
          <w:szCs w:val="24"/>
          <w:lang w:val="en-US" w:eastAsia="ru-RU"/>
        </w:rPr>
        <w:t xml:space="preserve">value </w:t>
      </w:r>
      <w:r>
        <w:rPr>
          <w:rFonts w:ascii="Times New Roman" w:eastAsia="Times New Roman" w:hAnsi="Times New Roman" w:cs="Times New Roman"/>
          <w:sz w:val="24"/>
          <w:szCs w:val="24"/>
          <w:lang w:val="en-US" w:eastAsia="ru-RU"/>
        </w:rPr>
        <w:t xml:space="preserve">of </w:t>
      </w:r>
      <w:r w:rsidRPr="005C151B">
        <w:rPr>
          <w:rFonts w:ascii="Times New Roman" w:eastAsia="Times New Roman" w:hAnsi="Times New Roman" w:cs="Times New Roman"/>
          <w:sz w:val="24"/>
          <w:szCs w:val="24"/>
          <w:lang w:val="en-US" w:eastAsia="ru-RU"/>
        </w:rPr>
        <w:t>(-7%</w:t>
      </w:r>
      <w:r w:rsidR="00287150">
        <w:rPr>
          <w:rFonts w:ascii="Times New Roman" w:eastAsia="Times New Roman" w:hAnsi="Times New Roman" w:cs="Times New Roman"/>
          <w:sz w:val="24"/>
          <w:szCs w:val="24"/>
          <w:lang w:val="en-US" w:eastAsia="ru-RU"/>
        </w:rPr>
        <w:t>)</w:t>
      </w:r>
      <w:r w:rsidRPr="005C151B">
        <w:rPr>
          <w:rFonts w:ascii="Times New Roman" w:eastAsia="Times New Roman" w:hAnsi="Times New Roman" w:cs="Times New Roman"/>
          <w:sz w:val="24"/>
          <w:szCs w:val="24"/>
          <w:lang w:val="en-US" w:eastAsia="ru-RU"/>
        </w:rPr>
        <w:t>.</w:t>
      </w:r>
      <w:r w:rsidR="00287150">
        <w:rPr>
          <w:rFonts w:ascii="Times New Roman" w:eastAsia="Times New Roman" w:hAnsi="Times New Roman" w:cs="Times New Roman"/>
          <w:sz w:val="24"/>
          <w:szCs w:val="24"/>
          <w:lang w:val="en-US" w:eastAsia="ru-RU"/>
        </w:rPr>
        <w:t xml:space="preserve"> </w:t>
      </w:r>
      <w:r w:rsidR="00E179BF" w:rsidRPr="00E179BF">
        <w:rPr>
          <w:rFonts w:ascii="Times New Roman" w:eastAsia="Times New Roman" w:hAnsi="Times New Roman" w:cs="Times New Roman"/>
          <w:sz w:val="24"/>
          <w:szCs w:val="24"/>
          <w:lang w:val="en-US" w:eastAsia="ru-RU"/>
        </w:rPr>
        <w:t>The</w:t>
      </w:r>
      <w:r w:rsidR="00E179BF" w:rsidRPr="00925940">
        <w:rPr>
          <w:rFonts w:ascii="Times New Roman" w:eastAsia="Times New Roman" w:hAnsi="Times New Roman" w:cs="Times New Roman"/>
          <w:sz w:val="24"/>
          <w:szCs w:val="24"/>
          <w:lang w:val="en-US" w:eastAsia="ru-RU"/>
        </w:rPr>
        <w:t xml:space="preserve"> negative </w:t>
      </w:r>
      <w:r w:rsidR="00E179BF" w:rsidRPr="00E179BF">
        <w:rPr>
          <w:rFonts w:ascii="Times New Roman" w:eastAsia="Times New Roman" w:hAnsi="Times New Roman" w:cs="Times New Roman"/>
          <w:sz w:val="24"/>
          <w:szCs w:val="24"/>
          <w:lang w:val="en-US" w:eastAsia="ru-RU"/>
        </w:rPr>
        <w:t xml:space="preserve">employment </w:t>
      </w:r>
      <w:r w:rsidR="00E179BF">
        <w:rPr>
          <w:rFonts w:ascii="Times New Roman" w:eastAsia="Times New Roman" w:hAnsi="Times New Roman" w:cs="Times New Roman"/>
          <w:sz w:val="24"/>
          <w:szCs w:val="24"/>
          <w:lang w:val="en-US" w:eastAsia="ru-RU"/>
        </w:rPr>
        <w:t>expectations</w:t>
      </w:r>
      <w:r w:rsidR="00E179BF" w:rsidRPr="00925940">
        <w:rPr>
          <w:rFonts w:ascii="Times New Roman" w:eastAsia="Times New Roman" w:hAnsi="Times New Roman" w:cs="Times New Roman"/>
          <w:sz w:val="24"/>
          <w:szCs w:val="24"/>
          <w:lang w:val="en-US" w:eastAsia="ru-RU"/>
        </w:rPr>
        <w:t xml:space="preserve"> </w:t>
      </w:r>
      <w:r w:rsidR="00E179BF">
        <w:rPr>
          <w:rFonts w:ascii="Times New Roman" w:eastAsia="Times New Roman" w:hAnsi="Times New Roman" w:cs="Times New Roman"/>
          <w:sz w:val="24"/>
          <w:szCs w:val="24"/>
          <w:lang w:val="en-US" w:eastAsia="ru-RU"/>
        </w:rPr>
        <w:t>are</w:t>
      </w:r>
      <w:r w:rsidR="00E179BF" w:rsidRPr="00E179BF">
        <w:rPr>
          <w:rFonts w:ascii="Times New Roman" w:eastAsia="Times New Roman" w:hAnsi="Times New Roman" w:cs="Times New Roman"/>
          <w:sz w:val="24"/>
          <w:szCs w:val="24"/>
          <w:lang w:val="en-US" w:eastAsia="ru-RU"/>
        </w:rPr>
        <w:t xml:space="preserve"> noteworthy</w:t>
      </w:r>
      <w:r w:rsidR="00786594">
        <w:rPr>
          <w:rFonts w:ascii="Times New Roman" w:eastAsia="Times New Roman" w:hAnsi="Times New Roman" w:cs="Times New Roman"/>
          <w:sz w:val="24"/>
          <w:szCs w:val="24"/>
          <w:lang w:val="en-US" w:eastAsia="ru-RU"/>
        </w:rPr>
        <w:t>: t</w:t>
      </w:r>
      <w:r w:rsidR="00E179BF">
        <w:rPr>
          <w:rFonts w:ascii="Times New Roman" w:eastAsia="Times New Roman" w:hAnsi="Times New Roman" w:cs="Times New Roman"/>
          <w:sz w:val="24"/>
          <w:szCs w:val="24"/>
          <w:lang w:val="en-US" w:eastAsia="ru-RU"/>
        </w:rPr>
        <w:t>he services is t</w:t>
      </w:r>
      <w:r w:rsidR="00E179BF" w:rsidRPr="00925940">
        <w:rPr>
          <w:rFonts w:ascii="Times New Roman" w:eastAsia="Times New Roman" w:hAnsi="Times New Roman" w:cs="Times New Roman"/>
          <w:sz w:val="24"/>
          <w:szCs w:val="24"/>
          <w:lang w:val="en-US" w:eastAsia="ru-RU"/>
        </w:rPr>
        <w:t xml:space="preserve">he most socially oriented </w:t>
      </w:r>
      <w:r w:rsidR="00E179BF" w:rsidRPr="00925940">
        <w:rPr>
          <w:rFonts w:ascii="Times New Roman" w:eastAsia="Times New Roman" w:hAnsi="Times New Roman" w:cs="Times New Roman"/>
          <w:sz w:val="24"/>
          <w:szCs w:val="24"/>
          <w:lang w:val="en-US" w:eastAsia="ru-RU"/>
        </w:rPr>
        <w:lastRenderedPageBreak/>
        <w:t xml:space="preserve">activity among the basic sectors of the </w:t>
      </w:r>
      <w:r w:rsidR="00E179BF">
        <w:rPr>
          <w:rFonts w:ascii="Times New Roman" w:eastAsia="Times New Roman" w:hAnsi="Times New Roman" w:cs="Times New Roman"/>
          <w:sz w:val="24"/>
          <w:szCs w:val="24"/>
          <w:lang w:val="en-US" w:eastAsia="ru-RU"/>
        </w:rPr>
        <w:t xml:space="preserve">Russian </w:t>
      </w:r>
      <w:r w:rsidR="00E179BF" w:rsidRPr="00925940">
        <w:rPr>
          <w:rFonts w:ascii="Times New Roman" w:eastAsia="Times New Roman" w:hAnsi="Times New Roman" w:cs="Times New Roman"/>
          <w:sz w:val="24"/>
          <w:szCs w:val="24"/>
          <w:lang w:val="en-US" w:eastAsia="ru-RU"/>
        </w:rPr>
        <w:t xml:space="preserve">economy, providing jobs and incomes for a large part of the population, especially in small cities </w:t>
      </w:r>
      <w:r w:rsidR="00E179BF">
        <w:rPr>
          <w:rFonts w:ascii="Times New Roman" w:eastAsia="Times New Roman" w:hAnsi="Times New Roman" w:cs="Times New Roman"/>
          <w:sz w:val="24"/>
          <w:szCs w:val="24"/>
          <w:lang w:val="en-US" w:eastAsia="ru-RU"/>
        </w:rPr>
        <w:t xml:space="preserve">where there is not </w:t>
      </w:r>
      <w:r w:rsidR="00E179BF" w:rsidRPr="00925940">
        <w:rPr>
          <w:rFonts w:ascii="Times New Roman" w:eastAsia="Times New Roman" w:hAnsi="Times New Roman" w:cs="Times New Roman"/>
          <w:sz w:val="24"/>
          <w:szCs w:val="24"/>
          <w:lang w:val="en-US" w:eastAsia="ru-RU"/>
        </w:rPr>
        <w:t xml:space="preserve">enough </w:t>
      </w:r>
      <w:r w:rsidR="00E179BF">
        <w:rPr>
          <w:rFonts w:ascii="Times New Roman" w:eastAsia="Times New Roman" w:hAnsi="Times New Roman" w:cs="Times New Roman"/>
          <w:sz w:val="24"/>
          <w:szCs w:val="24"/>
          <w:lang w:val="en-US" w:eastAsia="ru-RU"/>
        </w:rPr>
        <w:t>industrial and construction organizations</w:t>
      </w:r>
      <w:r w:rsidR="00786594">
        <w:rPr>
          <w:rFonts w:ascii="Times New Roman" w:eastAsia="Times New Roman" w:hAnsi="Times New Roman" w:cs="Times New Roman"/>
          <w:sz w:val="24"/>
          <w:szCs w:val="24"/>
          <w:lang w:val="en-US" w:eastAsia="ru-RU"/>
        </w:rPr>
        <w:t xml:space="preserve">. See </w:t>
      </w:r>
      <w:r w:rsidR="00287150">
        <w:rPr>
          <w:rFonts w:ascii="Times New Roman" w:eastAsia="Times New Roman" w:hAnsi="Times New Roman" w:cs="Times New Roman"/>
          <w:sz w:val="24"/>
          <w:szCs w:val="24"/>
          <w:lang w:val="en-US" w:eastAsia="ru-RU"/>
        </w:rPr>
        <w:t>Fig. 5</w:t>
      </w:r>
      <w:r w:rsidR="00786594">
        <w:rPr>
          <w:rFonts w:ascii="Times New Roman" w:eastAsia="Times New Roman" w:hAnsi="Times New Roman" w:cs="Times New Roman"/>
          <w:sz w:val="24"/>
          <w:szCs w:val="24"/>
          <w:lang w:val="en-US" w:eastAsia="ru-RU"/>
        </w:rPr>
        <w:t xml:space="preserve"> for the employment past changes and expectations for the next quarter.</w:t>
      </w:r>
    </w:p>
    <w:p w:rsidR="00D50F24" w:rsidRDefault="00D50F24" w:rsidP="00D50F24">
      <w:pPr>
        <w:keepNext/>
        <w:spacing w:after="0" w:line="360" w:lineRule="auto"/>
        <w:ind w:left="142"/>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46DF3998">
            <wp:extent cx="4680000" cy="1746612"/>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1746612"/>
                    </a:xfrm>
                    <a:prstGeom prst="rect">
                      <a:avLst/>
                    </a:prstGeom>
                    <a:noFill/>
                  </pic:spPr>
                </pic:pic>
              </a:graphicData>
            </a:graphic>
          </wp:inline>
        </w:drawing>
      </w:r>
    </w:p>
    <w:p w:rsidR="00786594" w:rsidRPr="00786594" w:rsidRDefault="00786594" w:rsidP="00786594">
      <w:pPr>
        <w:keepNext/>
        <w:spacing w:after="0" w:line="360" w:lineRule="auto"/>
        <w:rPr>
          <w:rFonts w:ascii="Times New Roman" w:eastAsia="Times New Roman" w:hAnsi="Times New Roman" w:cs="Times New Roman"/>
          <w:noProof/>
          <w:sz w:val="20"/>
          <w:szCs w:val="20"/>
          <w:lang w:val="en-US" w:eastAsia="ru-RU"/>
        </w:rPr>
      </w:pPr>
      <w:r w:rsidRPr="00786594">
        <w:rPr>
          <w:rFonts w:ascii="Times New Roman" w:eastAsia="Times New Roman" w:hAnsi="Times New Roman" w:cs="Times New Roman"/>
          <w:noProof/>
          <w:sz w:val="20"/>
          <w:szCs w:val="20"/>
          <w:lang w:val="en-US" w:eastAsia="ru-RU"/>
        </w:rPr>
        <w:t>Note: the question about employment was in cluded in the survises survey in 2013.</w:t>
      </w:r>
    </w:p>
    <w:p w:rsidR="005C151B" w:rsidRPr="005845B1" w:rsidRDefault="005C151B" w:rsidP="005C151B">
      <w:pPr>
        <w:spacing w:after="240" w:line="240" w:lineRule="auto"/>
        <w:ind w:left="142"/>
        <w:jc w:val="both"/>
        <w:rPr>
          <w:rFonts w:ascii="Times New Roman" w:eastAsia="Times New Roman" w:hAnsi="Times New Roman" w:cs="Times New Roman"/>
          <w:b/>
          <w:lang w:val="en-US" w:eastAsia="ru-RU"/>
        </w:rPr>
      </w:pPr>
      <w:r w:rsidRPr="005845B1">
        <w:rPr>
          <w:rFonts w:ascii="Times New Roman" w:eastAsia="Times New Roman" w:hAnsi="Times New Roman" w:cs="Times New Roman"/>
          <w:b/>
          <w:lang w:val="en-US" w:eastAsia="ru-RU"/>
        </w:rPr>
        <w:t xml:space="preserve">Fig. </w:t>
      </w:r>
      <w:r w:rsidR="00287150">
        <w:rPr>
          <w:rFonts w:ascii="Times New Roman" w:eastAsia="Times New Roman" w:hAnsi="Times New Roman" w:cs="Times New Roman"/>
          <w:b/>
          <w:lang w:val="en-US" w:eastAsia="ru-RU"/>
        </w:rPr>
        <w:t>5</w:t>
      </w:r>
      <w:r w:rsidRPr="005845B1">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Employ</w:t>
      </w:r>
      <w:r w:rsidR="00583052">
        <w:rPr>
          <w:rFonts w:ascii="Times New Roman" w:eastAsia="Times New Roman" w:hAnsi="Times New Roman" w:cs="Times New Roman"/>
          <w:b/>
          <w:lang w:val="en-US" w:eastAsia="ru-RU"/>
        </w:rPr>
        <w:t>ment</w:t>
      </w:r>
      <w:r w:rsidR="002B017B">
        <w:rPr>
          <w:rFonts w:ascii="Times New Roman" w:eastAsia="Times New Roman" w:hAnsi="Times New Roman" w:cs="Times New Roman"/>
          <w:b/>
          <w:lang w:val="en-US" w:eastAsia="ru-RU"/>
        </w:rPr>
        <w:t>;</w:t>
      </w:r>
      <w:r w:rsidR="00583052">
        <w:rPr>
          <w:rFonts w:ascii="Times New Roman" w:eastAsia="Times New Roman" w:hAnsi="Times New Roman" w:cs="Times New Roman"/>
          <w:b/>
          <w:lang w:val="en-US" w:eastAsia="ru-RU"/>
        </w:rPr>
        <w:t xml:space="preserve"> </w:t>
      </w:r>
      <w:r w:rsidR="00601233">
        <w:rPr>
          <w:rFonts w:ascii="Times New Roman" w:eastAsia="Times New Roman" w:hAnsi="Times New Roman" w:cs="Times New Roman"/>
          <w:b/>
          <w:lang w:val="en-US" w:eastAsia="ru-RU"/>
        </w:rPr>
        <w:t xml:space="preserve">past </w:t>
      </w:r>
      <w:r w:rsidR="002B017B">
        <w:rPr>
          <w:rFonts w:ascii="Times New Roman" w:eastAsia="Times New Roman" w:hAnsi="Times New Roman" w:cs="Times New Roman"/>
          <w:b/>
          <w:lang w:val="en-US" w:eastAsia="ru-RU"/>
        </w:rPr>
        <w:t xml:space="preserve">changes </w:t>
      </w:r>
      <w:r w:rsidR="00601233">
        <w:rPr>
          <w:rFonts w:ascii="Times New Roman" w:eastAsia="Times New Roman" w:hAnsi="Times New Roman" w:cs="Times New Roman"/>
          <w:b/>
          <w:lang w:val="en-US" w:eastAsia="ru-RU"/>
        </w:rPr>
        <w:t>and expectat</w:t>
      </w:r>
      <w:r w:rsidR="00E4703D">
        <w:rPr>
          <w:rFonts w:ascii="Times New Roman" w:eastAsia="Times New Roman" w:hAnsi="Times New Roman" w:cs="Times New Roman"/>
          <w:b/>
          <w:lang w:val="en-US" w:eastAsia="ru-RU"/>
        </w:rPr>
        <w:t>ions</w:t>
      </w:r>
      <w:r w:rsidRPr="005845B1">
        <w:rPr>
          <w:rFonts w:ascii="Times New Roman" w:eastAsia="Times New Roman" w:hAnsi="Times New Roman" w:cs="Times New Roman"/>
          <w:b/>
          <w:lang w:val="en-US" w:eastAsia="ru-RU"/>
        </w:rPr>
        <w:t>; balances, %</w:t>
      </w:r>
    </w:p>
    <w:p w:rsidR="00601233" w:rsidRPr="00601233" w:rsidRDefault="00601233" w:rsidP="00A0626A">
      <w:pPr>
        <w:spacing w:after="0" w:line="360" w:lineRule="auto"/>
        <w:ind w:left="142" w:firstLine="709"/>
        <w:jc w:val="both"/>
        <w:rPr>
          <w:rFonts w:ascii="Times New Roman" w:eastAsia="Times New Roman" w:hAnsi="Times New Roman" w:cs="Times New Roman"/>
          <w:sz w:val="24"/>
          <w:szCs w:val="24"/>
          <w:lang w:val="en-US" w:eastAsia="ru-RU"/>
        </w:rPr>
      </w:pPr>
      <w:r w:rsidRPr="00601233">
        <w:rPr>
          <w:rFonts w:ascii="Times New Roman" w:eastAsia="Times New Roman" w:hAnsi="Times New Roman" w:cs="Times New Roman"/>
          <w:sz w:val="24"/>
          <w:szCs w:val="24"/>
          <w:lang w:val="en-US" w:eastAsia="ru-RU"/>
        </w:rPr>
        <w:t xml:space="preserve">The results of the latest surveys indicate, on average, </w:t>
      </w:r>
      <w:r w:rsidR="00D50F24" w:rsidRPr="00786594">
        <w:rPr>
          <w:rFonts w:ascii="Times New Roman" w:eastAsia="Times New Roman" w:hAnsi="Times New Roman" w:cs="Times New Roman"/>
          <w:i/>
          <w:sz w:val="24"/>
          <w:szCs w:val="24"/>
          <w:lang w:val="en-US" w:eastAsia="ru-RU"/>
        </w:rPr>
        <w:t>selling price</w:t>
      </w:r>
      <w:r w:rsidR="00D50F24">
        <w:rPr>
          <w:rFonts w:ascii="Times New Roman" w:eastAsia="Times New Roman" w:hAnsi="Times New Roman" w:cs="Times New Roman"/>
          <w:sz w:val="24"/>
          <w:szCs w:val="24"/>
          <w:lang w:val="en-US" w:eastAsia="ru-RU"/>
        </w:rPr>
        <w:t xml:space="preserve"> </w:t>
      </w:r>
      <w:r w:rsidRPr="00601233">
        <w:rPr>
          <w:rFonts w:ascii="Times New Roman" w:eastAsia="Times New Roman" w:hAnsi="Times New Roman" w:cs="Times New Roman"/>
          <w:sz w:val="24"/>
          <w:szCs w:val="24"/>
          <w:lang w:val="en-US" w:eastAsia="ru-RU"/>
        </w:rPr>
        <w:t>stability</w:t>
      </w:r>
      <w:r w:rsidR="00D50F24">
        <w:rPr>
          <w:rFonts w:ascii="Times New Roman" w:eastAsia="Times New Roman" w:hAnsi="Times New Roman" w:cs="Times New Roman"/>
          <w:sz w:val="24"/>
          <w:szCs w:val="24"/>
          <w:lang w:val="en-US" w:eastAsia="ru-RU"/>
        </w:rPr>
        <w:t>. A</w:t>
      </w:r>
      <w:r w:rsidRPr="00601233">
        <w:rPr>
          <w:rFonts w:ascii="Times New Roman" w:eastAsia="Times New Roman" w:hAnsi="Times New Roman" w:cs="Times New Roman"/>
          <w:sz w:val="24"/>
          <w:szCs w:val="24"/>
          <w:lang w:val="en-US" w:eastAsia="ru-RU"/>
        </w:rPr>
        <w:t xml:space="preserve">t the end of 2017, 83% of respondents noted the </w:t>
      </w:r>
      <w:r w:rsidR="00D50F24">
        <w:rPr>
          <w:rFonts w:ascii="Times New Roman" w:eastAsia="Times New Roman" w:hAnsi="Times New Roman" w:cs="Times New Roman"/>
          <w:sz w:val="24"/>
          <w:szCs w:val="24"/>
          <w:lang w:val="en-US" w:eastAsia="ru-RU"/>
        </w:rPr>
        <w:t xml:space="preserve">unchanged </w:t>
      </w:r>
      <w:r w:rsidRPr="00601233">
        <w:rPr>
          <w:rFonts w:ascii="Times New Roman" w:eastAsia="Times New Roman" w:hAnsi="Times New Roman" w:cs="Times New Roman"/>
          <w:sz w:val="24"/>
          <w:szCs w:val="24"/>
          <w:lang w:val="en-US" w:eastAsia="ru-RU"/>
        </w:rPr>
        <w:t>prices, 8% stated their growth and 9%</w:t>
      </w:r>
      <w:r w:rsidR="00D50F24">
        <w:rPr>
          <w:rFonts w:ascii="Times New Roman" w:eastAsia="Times New Roman" w:hAnsi="Times New Roman" w:cs="Times New Roman"/>
          <w:sz w:val="24"/>
          <w:szCs w:val="24"/>
          <w:lang w:val="en-US" w:eastAsia="ru-RU"/>
        </w:rPr>
        <w:t xml:space="preserve"> –</w:t>
      </w:r>
      <w:r w:rsidRPr="00601233">
        <w:rPr>
          <w:rFonts w:ascii="Times New Roman" w:eastAsia="Times New Roman" w:hAnsi="Times New Roman" w:cs="Times New Roman"/>
          <w:sz w:val="24"/>
          <w:szCs w:val="24"/>
          <w:lang w:val="en-US" w:eastAsia="ru-RU"/>
        </w:rPr>
        <w:t xml:space="preserve"> </w:t>
      </w:r>
      <w:r w:rsidR="002B017B">
        <w:rPr>
          <w:rFonts w:ascii="Times New Roman" w:eastAsia="Times New Roman" w:hAnsi="Times New Roman" w:cs="Times New Roman"/>
          <w:sz w:val="24"/>
          <w:szCs w:val="24"/>
          <w:lang w:val="en-US" w:eastAsia="ru-RU"/>
        </w:rPr>
        <w:t>the</w:t>
      </w:r>
      <w:r w:rsidRPr="00601233">
        <w:rPr>
          <w:rFonts w:ascii="Times New Roman" w:eastAsia="Times New Roman" w:hAnsi="Times New Roman" w:cs="Times New Roman"/>
          <w:sz w:val="24"/>
          <w:szCs w:val="24"/>
          <w:lang w:val="en-US" w:eastAsia="ru-RU"/>
        </w:rPr>
        <w:t xml:space="preserve"> decrease</w:t>
      </w:r>
      <w:r w:rsidR="00D50F24">
        <w:rPr>
          <w:rFonts w:ascii="Times New Roman" w:eastAsia="Times New Roman" w:hAnsi="Times New Roman" w:cs="Times New Roman"/>
          <w:sz w:val="24"/>
          <w:szCs w:val="24"/>
          <w:lang w:val="en-US" w:eastAsia="ru-RU"/>
        </w:rPr>
        <w:t xml:space="preserve">; as a result, the balance of assessments was </w:t>
      </w:r>
      <w:r w:rsidRPr="00601233">
        <w:rPr>
          <w:rFonts w:ascii="Times New Roman" w:eastAsia="Times New Roman" w:hAnsi="Times New Roman" w:cs="Times New Roman"/>
          <w:sz w:val="24"/>
          <w:szCs w:val="24"/>
          <w:lang w:val="en-US" w:eastAsia="ru-RU"/>
        </w:rPr>
        <w:t xml:space="preserve">close to the neutral </w:t>
      </w:r>
      <w:r w:rsidR="00D50F24">
        <w:rPr>
          <w:rFonts w:ascii="Times New Roman" w:eastAsia="Times New Roman" w:hAnsi="Times New Roman" w:cs="Times New Roman"/>
          <w:sz w:val="24"/>
          <w:szCs w:val="24"/>
          <w:lang w:val="en-US" w:eastAsia="ru-RU"/>
        </w:rPr>
        <w:t>one.</w:t>
      </w:r>
      <w:r w:rsidRPr="00601233">
        <w:rPr>
          <w:rFonts w:ascii="Times New Roman" w:eastAsia="Times New Roman" w:hAnsi="Times New Roman" w:cs="Times New Roman"/>
          <w:sz w:val="24"/>
          <w:szCs w:val="24"/>
          <w:lang w:val="en-US" w:eastAsia="ru-RU"/>
        </w:rPr>
        <w:t xml:space="preserve"> The majority of entrepreneurs d</w:t>
      </w:r>
      <w:r w:rsidR="00786594">
        <w:rPr>
          <w:rFonts w:ascii="Times New Roman" w:eastAsia="Times New Roman" w:hAnsi="Times New Roman" w:cs="Times New Roman"/>
          <w:sz w:val="24"/>
          <w:szCs w:val="24"/>
          <w:lang w:val="en-US" w:eastAsia="ru-RU"/>
        </w:rPr>
        <w:t>o</w:t>
      </w:r>
      <w:r w:rsidRPr="00601233">
        <w:rPr>
          <w:rFonts w:ascii="Times New Roman" w:eastAsia="Times New Roman" w:hAnsi="Times New Roman" w:cs="Times New Roman"/>
          <w:sz w:val="24"/>
          <w:szCs w:val="24"/>
          <w:lang w:val="en-US" w:eastAsia="ru-RU"/>
        </w:rPr>
        <w:t xml:space="preserve"> not intend to raise prices for services in early 2018; </w:t>
      </w:r>
      <w:r w:rsidR="002B017B">
        <w:rPr>
          <w:rFonts w:ascii="Times New Roman" w:eastAsia="Times New Roman" w:hAnsi="Times New Roman" w:cs="Times New Roman"/>
          <w:sz w:val="24"/>
          <w:szCs w:val="24"/>
          <w:lang w:val="en-US" w:eastAsia="ru-RU"/>
        </w:rPr>
        <w:t>s</w:t>
      </w:r>
      <w:r w:rsidR="00D50F24">
        <w:rPr>
          <w:rFonts w:ascii="Times New Roman" w:eastAsia="Times New Roman" w:hAnsi="Times New Roman" w:cs="Times New Roman"/>
          <w:sz w:val="24"/>
          <w:szCs w:val="24"/>
          <w:lang w:val="en-US" w:eastAsia="ru-RU"/>
        </w:rPr>
        <w:t xml:space="preserve">elling price expectations for 2018 Q1 </w:t>
      </w:r>
      <w:r w:rsidRPr="00601233">
        <w:rPr>
          <w:rFonts w:ascii="Times New Roman" w:eastAsia="Times New Roman" w:hAnsi="Times New Roman" w:cs="Times New Roman"/>
          <w:sz w:val="24"/>
          <w:szCs w:val="24"/>
          <w:lang w:val="en-US" w:eastAsia="ru-RU"/>
        </w:rPr>
        <w:t>drop to the lowest level for the observation period</w:t>
      </w:r>
      <w:r w:rsidR="002B017B">
        <w:rPr>
          <w:rFonts w:ascii="Times New Roman" w:eastAsia="Times New Roman" w:hAnsi="Times New Roman" w:cs="Times New Roman"/>
          <w:sz w:val="24"/>
          <w:szCs w:val="24"/>
          <w:lang w:val="en-US" w:eastAsia="ru-RU"/>
        </w:rPr>
        <w:t xml:space="preserve"> (Fig. 6)</w:t>
      </w:r>
      <w:r w:rsidRPr="00601233">
        <w:rPr>
          <w:rFonts w:ascii="Times New Roman" w:eastAsia="Times New Roman" w:hAnsi="Times New Roman" w:cs="Times New Roman"/>
          <w:sz w:val="24"/>
          <w:szCs w:val="24"/>
          <w:lang w:val="en-US" w:eastAsia="ru-RU"/>
        </w:rPr>
        <w:t>.</w:t>
      </w:r>
    </w:p>
    <w:p w:rsidR="00D50F24" w:rsidRPr="00CC2386" w:rsidRDefault="00D50F24" w:rsidP="00CC2386">
      <w:pPr>
        <w:keepNext/>
        <w:spacing w:before="240" w:after="120" w:line="240" w:lineRule="auto"/>
        <w:jc w:val="center"/>
        <w:outlineLvl w:val="0"/>
        <w:rPr>
          <w:rFonts w:ascii="HeliosCond" w:eastAsia="Times New Roman" w:hAnsi="HeliosCond" w:cs="Times New Roman"/>
          <w:b/>
          <w:color w:val="5F5F5F"/>
          <w:sz w:val="24"/>
          <w:szCs w:val="24"/>
        </w:rPr>
      </w:pPr>
      <w:r>
        <w:rPr>
          <w:rFonts w:ascii="HeliosCond" w:eastAsia="Times New Roman" w:hAnsi="HeliosCond" w:cs="Times New Roman"/>
          <w:b/>
          <w:noProof/>
          <w:color w:val="5F5F5F"/>
          <w:sz w:val="24"/>
          <w:szCs w:val="24"/>
          <w:lang w:eastAsia="ru-RU"/>
        </w:rPr>
        <w:drawing>
          <wp:inline distT="0" distB="0" distL="0" distR="0" wp14:anchorId="76D784CF">
            <wp:extent cx="4680000" cy="172247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1722474"/>
                    </a:xfrm>
                    <a:prstGeom prst="rect">
                      <a:avLst/>
                    </a:prstGeom>
                    <a:noFill/>
                  </pic:spPr>
                </pic:pic>
              </a:graphicData>
            </a:graphic>
          </wp:inline>
        </w:drawing>
      </w:r>
    </w:p>
    <w:p w:rsidR="00D50F24" w:rsidRPr="005845B1" w:rsidRDefault="00D50F24" w:rsidP="00D50F24">
      <w:pPr>
        <w:spacing w:after="240" w:line="240" w:lineRule="auto"/>
        <w:ind w:left="142"/>
        <w:jc w:val="both"/>
        <w:rPr>
          <w:rFonts w:ascii="Times New Roman" w:eastAsia="Times New Roman" w:hAnsi="Times New Roman" w:cs="Times New Roman"/>
          <w:b/>
          <w:lang w:val="en-US" w:eastAsia="ru-RU"/>
        </w:rPr>
      </w:pPr>
      <w:r w:rsidRPr="005845B1">
        <w:rPr>
          <w:rFonts w:ascii="Times New Roman" w:eastAsia="Times New Roman" w:hAnsi="Times New Roman" w:cs="Times New Roman"/>
          <w:b/>
          <w:lang w:val="en-US" w:eastAsia="ru-RU"/>
        </w:rPr>
        <w:t xml:space="preserve">Fig. </w:t>
      </w:r>
      <w:r w:rsidR="002B017B">
        <w:rPr>
          <w:rFonts w:ascii="Times New Roman" w:eastAsia="Times New Roman" w:hAnsi="Times New Roman" w:cs="Times New Roman"/>
          <w:b/>
          <w:lang w:val="en-US" w:eastAsia="ru-RU"/>
        </w:rPr>
        <w:t>6</w:t>
      </w:r>
      <w:r w:rsidRPr="005845B1">
        <w:rPr>
          <w:rFonts w:ascii="Times New Roman" w:eastAsia="Times New Roman" w:hAnsi="Times New Roman" w:cs="Times New Roman"/>
          <w:b/>
          <w:lang w:val="en-US" w:eastAsia="ru-RU"/>
        </w:rPr>
        <w:t xml:space="preserve">. </w:t>
      </w:r>
      <w:r w:rsidR="002B017B">
        <w:rPr>
          <w:rFonts w:ascii="Times New Roman" w:eastAsia="Times New Roman" w:hAnsi="Times New Roman" w:cs="Times New Roman"/>
          <w:b/>
          <w:lang w:val="en-US" w:eastAsia="ru-RU"/>
        </w:rPr>
        <w:t>Selling p</w:t>
      </w:r>
      <w:r>
        <w:rPr>
          <w:rFonts w:ascii="Times New Roman" w:eastAsia="Times New Roman" w:hAnsi="Times New Roman" w:cs="Times New Roman"/>
          <w:b/>
          <w:lang w:val="en-US" w:eastAsia="ru-RU"/>
        </w:rPr>
        <w:t>rices</w:t>
      </w:r>
      <w:r w:rsidR="002B017B">
        <w:rPr>
          <w:rFonts w:ascii="Times New Roman" w:eastAsia="Times New Roman" w:hAnsi="Times New Roman" w:cs="Times New Roman"/>
          <w:b/>
          <w:lang w:val="en-US" w:eastAsia="ru-RU"/>
        </w:rPr>
        <w:t>;</w:t>
      </w:r>
      <w:r>
        <w:rPr>
          <w:rFonts w:ascii="Times New Roman" w:eastAsia="Times New Roman" w:hAnsi="Times New Roman" w:cs="Times New Roman"/>
          <w:b/>
          <w:lang w:val="en-US" w:eastAsia="ru-RU"/>
        </w:rPr>
        <w:t xml:space="preserve"> past </w:t>
      </w:r>
      <w:r w:rsidR="002B017B">
        <w:rPr>
          <w:rFonts w:ascii="Times New Roman" w:eastAsia="Times New Roman" w:hAnsi="Times New Roman" w:cs="Times New Roman"/>
          <w:b/>
          <w:lang w:val="en-US" w:eastAsia="ru-RU"/>
        </w:rPr>
        <w:t xml:space="preserve">changes </w:t>
      </w:r>
      <w:r>
        <w:rPr>
          <w:rFonts w:ascii="Times New Roman" w:eastAsia="Times New Roman" w:hAnsi="Times New Roman" w:cs="Times New Roman"/>
          <w:b/>
          <w:lang w:val="en-US" w:eastAsia="ru-RU"/>
        </w:rPr>
        <w:t>and expectations</w:t>
      </w:r>
      <w:r w:rsidRPr="005845B1">
        <w:rPr>
          <w:rFonts w:ascii="Times New Roman" w:eastAsia="Times New Roman" w:hAnsi="Times New Roman" w:cs="Times New Roman"/>
          <w:b/>
          <w:lang w:val="en-US" w:eastAsia="ru-RU"/>
        </w:rPr>
        <w:t>; balances, %</w:t>
      </w:r>
    </w:p>
    <w:p w:rsidR="00CC4E69" w:rsidRPr="00CC4E69" w:rsidRDefault="00465A7F" w:rsidP="00560B4E">
      <w:pPr>
        <w:spacing w:after="0" w:line="360" w:lineRule="auto"/>
        <w:ind w:left="142" w:firstLine="709"/>
        <w:jc w:val="both"/>
        <w:rPr>
          <w:rFonts w:ascii="Times New Roman" w:eastAsia="Times New Roman" w:hAnsi="Times New Roman" w:cs="Times New Roman"/>
          <w:sz w:val="24"/>
          <w:szCs w:val="24"/>
          <w:lang w:val="en-US" w:eastAsia="ru-RU"/>
        </w:rPr>
      </w:pPr>
      <w:r w:rsidRPr="00465A7F">
        <w:rPr>
          <w:rFonts w:ascii="Times New Roman" w:eastAsia="Times New Roman" w:hAnsi="Times New Roman" w:cs="Times New Roman"/>
          <w:sz w:val="24"/>
          <w:szCs w:val="24"/>
          <w:lang w:val="en-US" w:eastAsia="ru-RU"/>
        </w:rPr>
        <w:t>A significant number of entrepreneurs consider</w:t>
      </w:r>
      <w:r w:rsidR="00786594">
        <w:rPr>
          <w:rFonts w:ascii="Times New Roman" w:eastAsia="Times New Roman" w:hAnsi="Times New Roman" w:cs="Times New Roman"/>
          <w:sz w:val="24"/>
          <w:szCs w:val="24"/>
          <w:lang w:val="en-US" w:eastAsia="ru-RU"/>
        </w:rPr>
        <w:t>s</w:t>
      </w:r>
      <w:r w:rsidRPr="00465A7F">
        <w:rPr>
          <w:rFonts w:ascii="Times New Roman" w:eastAsia="Times New Roman" w:hAnsi="Times New Roman" w:cs="Times New Roman"/>
          <w:sz w:val="24"/>
          <w:szCs w:val="24"/>
          <w:lang w:val="en-US" w:eastAsia="ru-RU"/>
        </w:rPr>
        <w:t xml:space="preserve"> the current </w:t>
      </w:r>
      <w:r>
        <w:rPr>
          <w:rFonts w:ascii="Times New Roman" w:eastAsia="Times New Roman" w:hAnsi="Times New Roman" w:cs="Times New Roman"/>
          <w:sz w:val="24"/>
          <w:szCs w:val="24"/>
          <w:lang w:val="en-US" w:eastAsia="ru-RU"/>
        </w:rPr>
        <w:t xml:space="preserve">selling </w:t>
      </w:r>
      <w:r w:rsidRPr="00465A7F">
        <w:rPr>
          <w:rFonts w:ascii="Times New Roman" w:eastAsia="Times New Roman" w:hAnsi="Times New Roman" w:cs="Times New Roman"/>
          <w:sz w:val="24"/>
          <w:szCs w:val="24"/>
          <w:lang w:val="en-US" w:eastAsia="ru-RU"/>
        </w:rPr>
        <w:t xml:space="preserve">prices to </w:t>
      </w:r>
      <w:proofErr w:type="gramStart"/>
      <w:r w:rsidRPr="00465A7F">
        <w:rPr>
          <w:rFonts w:ascii="Times New Roman" w:eastAsia="Times New Roman" w:hAnsi="Times New Roman" w:cs="Times New Roman"/>
          <w:sz w:val="24"/>
          <w:szCs w:val="24"/>
          <w:lang w:val="en-US" w:eastAsia="ru-RU"/>
        </w:rPr>
        <w:t>be clearly underestimated</w:t>
      </w:r>
      <w:proofErr w:type="gramEnd"/>
      <w:r w:rsidRPr="00465A7F">
        <w:rPr>
          <w:rFonts w:ascii="Times New Roman" w:eastAsia="Times New Roman" w:hAnsi="Times New Roman" w:cs="Times New Roman"/>
          <w:sz w:val="24"/>
          <w:szCs w:val="24"/>
          <w:lang w:val="en-US" w:eastAsia="ru-RU"/>
        </w:rPr>
        <w:t xml:space="preserve"> relative to their "normal" </w:t>
      </w:r>
      <w:r w:rsidR="002B017B">
        <w:rPr>
          <w:rFonts w:ascii="Times New Roman" w:eastAsia="Times New Roman" w:hAnsi="Times New Roman" w:cs="Times New Roman"/>
          <w:sz w:val="24"/>
          <w:szCs w:val="24"/>
          <w:lang w:val="en-US" w:eastAsia="ru-RU"/>
        </w:rPr>
        <w:t>(</w:t>
      </w:r>
      <w:r w:rsidRPr="00465A7F">
        <w:rPr>
          <w:rFonts w:ascii="Times New Roman" w:eastAsia="Times New Roman" w:hAnsi="Times New Roman" w:cs="Times New Roman"/>
          <w:sz w:val="24"/>
          <w:szCs w:val="24"/>
          <w:lang w:val="en-US" w:eastAsia="ru-RU"/>
        </w:rPr>
        <w:t xml:space="preserve">acceptable for the </w:t>
      </w:r>
      <w:r>
        <w:rPr>
          <w:rFonts w:ascii="Times New Roman" w:eastAsia="Times New Roman" w:hAnsi="Times New Roman" w:cs="Times New Roman"/>
          <w:sz w:val="24"/>
          <w:szCs w:val="24"/>
          <w:lang w:val="en-US" w:eastAsia="ru-RU"/>
        </w:rPr>
        <w:t xml:space="preserve">current </w:t>
      </w:r>
      <w:r w:rsidRPr="00465A7F">
        <w:rPr>
          <w:rFonts w:ascii="Times New Roman" w:eastAsia="Times New Roman" w:hAnsi="Times New Roman" w:cs="Times New Roman"/>
          <w:sz w:val="24"/>
          <w:szCs w:val="24"/>
          <w:lang w:val="en-US" w:eastAsia="ru-RU"/>
        </w:rPr>
        <w:t xml:space="preserve">business </w:t>
      </w:r>
      <w:r>
        <w:rPr>
          <w:rFonts w:ascii="Times New Roman" w:eastAsia="Times New Roman" w:hAnsi="Times New Roman" w:cs="Times New Roman"/>
          <w:sz w:val="24"/>
          <w:szCs w:val="24"/>
          <w:lang w:val="en-US" w:eastAsia="ru-RU"/>
        </w:rPr>
        <w:t>situation</w:t>
      </w:r>
      <w:r w:rsidR="002B017B">
        <w:rPr>
          <w:rFonts w:ascii="Times New Roman" w:eastAsia="Times New Roman" w:hAnsi="Times New Roman" w:cs="Times New Roman"/>
          <w:sz w:val="24"/>
          <w:szCs w:val="24"/>
          <w:lang w:val="en-US" w:eastAsia="ru-RU"/>
        </w:rPr>
        <w:t>) level</w:t>
      </w:r>
      <w:r>
        <w:rPr>
          <w:rFonts w:ascii="Times New Roman" w:eastAsia="Times New Roman" w:hAnsi="Times New Roman" w:cs="Times New Roman"/>
          <w:sz w:val="24"/>
          <w:szCs w:val="24"/>
          <w:lang w:val="en-US" w:eastAsia="ru-RU"/>
        </w:rPr>
        <w:t xml:space="preserve">; </w:t>
      </w:r>
      <w:r w:rsidR="002B017B">
        <w:rPr>
          <w:rFonts w:ascii="Times New Roman" w:eastAsia="Times New Roman" w:hAnsi="Times New Roman" w:cs="Times New Roman"/>
          <w:sz w:val="24"/>
          <w:szCs w:val="24"/>
          <w:lang w:val="en-US" w:eastAsia="ru-RU"/>
        </w:rPr>
        <w:t>among them</w:t>
      </w:r>
      <w:r>
        <w:rPr>
          <w:rFonts w:ascii="Times New Roman" w:eastAsia="Times New Roman" w:hAnsi="Times New Roman" w:cs="Times New Roman"/>
          <w:sz w:val="24"/>
          <w:szCs w:val="24"/>
          <w:lang w:val="en-US" w:eastAsia="ru-RU"/>
        </w:rPr>
        <w:t>, i</w:t>
      </w:r>
      <w:r w:rsidRPr="00465A7F">
        <w:rPr>
          <w:rFonts w:ascii="Times New Roman" w:eastAsia="Times New Roman" w:hAnsi="Times New Roman" w:cs="Times New Roman"/>
          <w:sz w:val="24"/>
          <w:szCs w:val="24"/>
          <w:lang w:val="en-US" w:eastAsia="ru-RU"/>
        </w:rPr>
        <w:t xml:space="preserve">n particular, almost half of </w:t>
      </w:r>
      <w:r>
        <w:rPr>
          <w:rFonts w:ascii="Times New Roman" w:eastAsia="Times New Roman" w:hAnsi="Times New Roman" w:cs="Times New Roman"/>
          <w:sz w:val="24"/>
          <w:szCs w:val="24"/>
          <w:lang w:val="en-US" w:eastAsia="ru-RU"/>
        </w:rPr>
        <w:t>top managers of</w:t>
      </w:r>
      <w:r w:rsidRPr="00465A7F">
        <w:rPr>
          <w:rFonts w:ascii="Times New Roman" w:eastAsia="Times New Roman" w:hAnsi="Times New Roman" w:cs="Times New Roman"/>
          <w:sz w:val="24"/>
          <w:szCs w:val="24"/>
          <w:lang w:val="en-US" w:eastAsia="ru-RU"/>
        </w:rPr>
        <w:t xml:space="preserve"> passenger transport</w:t>
      </w:r>
      <w:r>
        <w:rPr>
          <w:rFonts w:ascii="Times New Roman" w:eastAsia="Times New Roman" w:hAnsi="Times New Roman" w:cs="Times New Roman"/>
          <w:sz w:val="24"/>
          <w:szCs w:val="24"/>
          <w:lang w:val="en-US" w:eastAsia="ru-RU"/>
        </w:rPr>
        <w:t xml:space="preserve"> companies. </w:t>
      </w:r>
      <w:r w:rsidRPr="00465A7F">
        <w:rPr>
          <w:rFonts w:ascii="Times New Roman" w:eastAsia="Times New Roman" w:hAnsi="Times New Roman" w:cs="Times New Roman"/>
          <w:sz w:val="24"/>
          <w:szCs w:val="24"/>
          <w:lang w:val="en-US" w:eastAsia="ru-RU"/>
        </w:rPr>
        <w:t xml:space="preserve">Thus, the low inflation in </w:t>
      </w:r>
      <w:r>
        <w:rPr>
          <w:rFonts w:ascii="Times New Roman" w:eastAsia="Times New Roman" w:hAnsi="Times New Roman" w:cs="Times New Roman"/>
          <w:sz w:val="24"/>
          <w:szCs w:val="24"/>
          <w:lang w:val="en-US" w:eastAsia="ru-RU"/>
        </w:rPr>
        <w:t xml:space="preserve">services </w:t>
      </w:r>
      <w:r w:rsidR="00786594">
        <w:rPr>
          <w:rFonts w:ascii="Times New Roman" w:eastAsia="Times New Roman" w:hAnsi="Times New Roman" w:cs="Times New Roman"/>
          <w:sz w:val="24"/>
          <w:szCs w:val="24"/>
          <w:lang w:val="en-US" w:eastAsia="ru-RU"/>
        </w:rPr>
        <w:t>is</w:t>
      </w:r>
      <w:r w:rsidRPr="00465A7F">
        <w:rPr>
          <w:rFonts w:ascii="Times New Roman" w:eastAsia="Times New Roman" w:hAnsi="Times New Roman" w:cs="Times New Roman"/>
          <w:sz w:val="24"/>
          <w:szCs w:val="24"/>
          <w:lang w:val="en-US" w:eastAsia="ru-RU"/>
        </w:rPr>
        <w:t xml:space="preserve"> mainly</w:t>
      </w:r>
      <w:r w:rsidR="002B017B" w:rsidRPr="002B017B">
        <w:rPr>
          <w:lang w:val="en-US"/>
        </w:rPr>
        <w:t xml:space="preserve"> </w:t>
      </w:r>
      <w:r w:rsidR="002B017B" w:rsidRPr="002B017B">
        <w:rPr>
          <w:rFonts w:ascii="Times New Roman" w:eastAsia="Times New Roman" w:hAnsi="Times New Roman" w:cs="Times New Roman"/>
          <w:sz w:val="24"/>
          <w:szCs w:val="24"/>
          <w:lang w:val="en-US" w:eastAsia="ru-RU"/>
        </w:rPr>
        <w:t>due</w:t>
      </w:r>
      <w:r w:rsidRPr="00465A7F">
        <w:rPr>
          <w:rFonts w:ascii="Times New Roman" w:eastAsia="Times New Roman" w:hAnsi="Times New Roman" w:cs="Times New Roman"/>
          <w:sz w:val="24"/>
          <w:szCs w:val="24"/>
          <w:lang w:val="en-US" w:eastAsia="ru-RU"/>
        </w:rPr>
        <w:t xml:space="preserve"> to the inability to raise prices in conditions of weak effective</w:t>
      </w:r>
      <w:r w:rsidR="00CC4E69">
        <w:rPr>
          <w:rFonts w:ascii="Times New Roman" w:eastAsia="Times New Roman" w:hAnsi="Times New Roman" w:cs="Times New Roman"/>
          <w:sz w:val="24"/>
          <w:szCs w:val="24"/>
          <w:lang w:val="en-US" w:eastAsia="ru-RU"/>
        </w:rPr>
        <w:t xml:space="preserve"> demand.</w:t>
      </w:r>
    </w:p>
    <w:p w:rsidR="00CC4E69" w:rsidRDefault="00CC4E69" w:rsidP="00560B4E">
      <w:pPr>
        <w:spacing w:after="0" w:line="360" w:lineRule="auto"/>
        <w:ind w:left="142" w:firstLine="709"/>
        <w:jc w:val="both"/>
        <w:rPr>
          <w:rFonts w:ascii="Times New Roman" w:eastAsia="Times New Roman" w:hAnsi="Times New Roman" w:cs="Times New Roman"/>
          <w:sz w:val="24"/>
          <w:szCs w:val="24"/>
          <w:lang w:val="en-US" w:eastAsia="ru-RU"/>
        </w:rPr>
      </w:pPr>
      <w:r w:rsidRPr="00CC4E69">
        <w:rPr>
          <w:rFonts w:ascii="Times New Roman" w:eastAsia="Times New Roman" w:hAnsi="Times New Roman" w:cs="Times New Roman"/>
          <w:sz w:val="24"/>
          <w:szCs w:val="24"/>
          <w:lang w:val="en-US" w:eastAsia="ru-RU"/>
        </w:rPr>
        <w:t xml:space="preserve">The </w:t>
      </w:r>
      <w:r w:rsidRPr="00786594">
        <w:rPr>
          <w:rFonts w:ascii="Times New Roman" w:eastAsia="Times New Roman" w:hAnsi="Times New Roman" w:cs="Times New Roman"/>
          <w:i/>
          <w:sz w:val="24"/>
          <w:szCs w:val="24"/>
          <w:lang w:val="en-US" w:eastAsia="ru-RU"/>
        </w:rPr>
        <w:t xml:space="preserve">financial </w:t>
      </w:r>
      <w:r w:rsidR="00852818" w:rsidRPr="00786594">
        <w:rPr>
          <w:rFonts w:ascii="Times New Roman" w:eastAsia="Times New Roman" w:hAnsi="Times New Roman" w:cs="Times New Roman"/>
          <w:i/>
          <w:sz w:val="24"/>
          <w:szCs w:val="24"/>
          <w:lang w:val="en-US" w:eastAsia="ru-RU"/>
        </w:rPr>
        <w:t>positions</w:t>
      </w:r>
      <w:r w:rsidRPr="00CC4E69">
        <w:rPr>
          <w:rFonts w:ascii="Times New Roman" w:eastAsia="Times New Roman" w:hAnsi="Times New Roman" w:cs="Times New Roman"/>
          <w:sz w:val="24"/>
          <w:szCs w:val="24"/>
          <w:lang w:val="en-US" w:eastAsia="ru-RU"/>
        </w:rPr>
        <w:t xml:space="preserve"> of service organizations </w:t>
      </w:r>
      <w:r w:rsidR="00786594">
        <w:rPr>
          <w:rFonts w:ascii="Times New Roman" w:eastAsia="Times New Roman" w:hAnsi="Times New Roman" w:cs="Times New Roman"/>
          <w:sz w:val="24"/>
          <w:szCs w:val="24"/>
          <w:lang w:val="en-US" w:eastAsia="ru-RU"/>
        </w:rPr>
        <w:t>are</w:t>
      </w:r>
      <w:r w:rsidR="002B017B">
        <w:rPr>
          <w:rFonts w:ascii="Times New Roman" w:eastAsia="Times New Roman" w:hAnsi="Times New Roman" w:cs="Times New Roman"/>
          <w:sz w:val="24"/>
          <w:szCs w:val="24"/>
          <w:lang w:val="en-US" w:eastAsia="ru-RU"/>
        </w:rPr>
        <w:t xml:space="preserve"> getting worse </w:t>
      </w:r>
      <w:r w:rsidRPr="00CC4E69">
        <w:rPr>
          <w:rFonts w:ascii="Times New Roman" w:eastAsia="Times New Roman" w:hAnsi="Times New Roman" w:cs="Times New Roman"/>
          <w:sz w:val="24"/>
          <w:szCs w:val="24"/>
          <w:lang w:val="en-US" w:eastAsia="ru-RU"/>
        </w:rPr>
        <w:t xml:space="preserve">from the beginning of 2017, as the </w:t>
      </w:r>
      <w:r>
        <w:rPr>
          <w:rFonts w:ascii="Times New Roman" w:eastAsia="Times New Roman" w:hAnsi="Times New Roman" w:cs="Times New Roman"/>
          <w:sz w:val="24"/>
          <w:szCs w:val="24"/>
          <w:lang w:val="en-US" w:eastAsia="ru-RU"/>
        </w:rPr>
        <w:t xml:space="preserve">profit </w:t>
      </w:r>
      <w:r w:rsidRPr="00CC4E69">
        <w:rPr>
          <w:rFonts w:ascii="Times New Roman" w:eastAsia="Times New Roman" w:hAnsi="Times New Roman" w:cs="Times New Roman"/>
          <w:sz w:val="24"/>
          <w:szCs w:val="24"/>
          <w:lang w:val="en-US" w:eastAsia="ru-RU"/>
        </w:rPr>
        <w:t xml:space="preserve">dynamics </w:t>
      </w:r>
      <w:r>
        <w:rPr>
          <w:rFonts w:ascii="Times New Roman" w:eastAsia="Times New Roman" w:hAnsi="Times New Roman" w:cs="Times New Roman"/>
          <w:sz w:val="24"/>
          <w:szCs w:val="24"/>
          <w:lang w:val="en-US" w:eastAsia="ru-RU"/>
        </w:rPr>
        <w:t>indicates</w:t>
      </w:r>
      <w:r w:rsidR="00852818">
        <w:rPr>
          <w:rFonts w:ascii="Times New Roman" w:eastAsia="Times New Roman" w:hAnsi="Times New Roman" w:cs="Times New Roman"/>
          <w:sz w:val="24"/>
          <w:szCs w:val="24"/>
          <w:lang w:val="en-US" w:eastAsia="ru-RU"/>
        </w:rPr>
        <w:t xml:space="preserve"> (Fig. 7)</w:t>
      </w:r>
      <w:r w:rsidRPr="00CC4E6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By</w:t>
      </w:r>
      <w:r w:rsidRPr="00CC4E69">
        <w:rPr>
          <w:rFonts w:ascii="Times New Roman" w:eastAsia="Times New Roman" w:hAnsi="Times New Roman" w:cs="Times New Roman"/>
          <w:sz w:val="24"/>
          <w:szCs w:val="24"/>
          <w:lang w:val="en-US" w:eastAsia="ru-RU"/>
        </w:rPr>
        <w:t xml:space="preserve"> the end of 2017, profit </w:t>
      </w:r>
      <w:r w:rsidR="00786594">
        <w:rPr>
          <w:rFonts w:ascii="Times New Roman" w:eastAsia="Times New Roman" w:hAnsi="Times New Roman" w:cs="Times New Roman"/>
          <w:sz w:val="24"/>
          <w:szCs w:val="24"/>
          <w:lang w:val="en-US" w:eastAsia="ru-RU"/>
        </w:rPr>
        <w:t xml:space="preserve">has </w:t>
      </w:r>
      <w:r w:rsidRPr="00CC4E69">
        <w:rPr>
          <w:rFonts w:ascii="Times New Roman" w:eastAsia="Times New Roman" w:hAnsi="Times New Roman" w:cs="Times New Roman"/>
          <w:sz w:val="24"/>
          <w:szCs w:val="24"/>
          <w:lang w:val="en-US" w:eastAsia="ru-RU"/>
        </w:rPr>
        <w:t>dec</w:t>
      </w:r>
      <w:r w:rsidR="00786594">
        <w:rPr>
          <w:rFonts w:ascii="Times New Roman" w:eastAsia="Times New Roman" w:hAnsi="Times New Roman" w:cs="Times New Roman"/>
          <w:sz w:val="24"/>
          <w:szCs w:val="24"/>
          <w:lang w:val="en-US" w:eastAsia="ru-RU"/>
        </w:rPr>
        <w:t>lined</w:t>
      </w:r>
      <w:r w:rsidRPr="00CC4E69">
        <w:rPr>
          <w:rFonts w:ascii="Times New Roman" w:eastAsia="Times New Roman" w:hAnsi="Times New Roman" w:cs="Times New Roman"/>
          <w:sz w:val="24"/>
          <w:szCs w:val="24"/>
          <w:lang w:val="en-US" w:eastAsia="ru-RU"/>
        </w:rPr>
        <w:t xml:space="preserve"> in </w:t>
      </w:r>
      <w:r w:rsidR="00786594">
        <w:rPr>
          <w:rFonts w:ascii="Times New Roman" w:eastAsia="Times New Roman" w:hAnsi="Times New Roman" w:cs="Times New Roman"/>
          <w:sz w:val="24"/>
          <w:szCs w:val="24"/>
          <w:lang w:val="en-US" w:eastAsia="ru-RU"/>
        </w:rPr>
        <w:t xml:space="preserve">the </w:t>
      </w:r>
      <w:r w:rsidRPr="00CC4E69">
        <w:rPr>
          <w:rFonts w:ascii="Times New Roman" w:eastAsia="Times New Roman" w:hAnsi="Times New Roman" w:cs="Times New Roman"/>
          <w:sz w:val="24"/>
          <w:szCs w:val="24"/>
          <w:lang w:val="en-US" w:eastAsia="ru-RU"/>
        </w:rPr>
        <w:t xml:space="preserve">all </w:t>
      </w:r>
      <w:r w:rsidRPr="00CC4E69">
        <w:rPr>
          <w:rFonts w:ascii="Times New Roman" w:eastAsia="Times New Roman" w:hAnsi="Times New Roman" w:cs="Times New Roman"/>
          <w:sz w:val="24"/>
          <w:szCs w:val="24"/>
          <w:lang w:val="en-US" w:eastAsia="ru-RU"/>
        </w:rPr>
        <w:lastRenderedPageBreak/>
        <w:t xml:space="preserve">observed </w:t>
      </w:r>
      <w:r>
        <w:rPr>
          <w:rFonts w:ascii="Times New Roman" w:eastAsia="Times New Roman" w:hAnsi="Times New Roman" w:cs="Times New Roman"/>
          <w:sz w:val="24"/>
          <w:szCs w:val="24"/>
          <w:lang w:val="en-US" w:eastAsia="ru-RU"/>
        </w:rPr>
        <w:t>activities</w:t>
      </w:r>
      <w:r w:rsidRPr="00CC4E69">
        <w:rPr>
          <w:rFonts w:ascii="Times New Roman" w:eastAsia="Times New Roman" w:hAnsi="Times New Roman" w:cs="Times New Roman"/>
          <w:sz w:val="24"/>
          <w:szCs w:val="24"/>
          <w:lang w:val="en-US" w:eastAsia="ru-RU"/>
        </w:rPr>
        <w:t xml:space="preserve">, the balance of estimates </w:t>
      </w:r>
      <w:r>
        <w:rPr>
          <w:rFonts w:ascii="Times New Roman" w:eastAsia="Times New Roman" w:hAnsi="Times New Roman" w:cs="Times New Roman"/>
          <w:sz w:val="24"/>
          <w:szCs w:val="24"/>
          <w:lang w:val="en-US" w:eastAsia="ru-RU"/>
        </w:rPr>
        <w:t xml:space="preserve">decreased </w:t>
      </w:r>
      <w:r w:rsidRPr="00CC4E69">
        <w:rPr>
          <w:rFonts w:ascii="Times New Roman" w:eastAsia="Times New Roman" w:hAnsi="Times New Roman" w:cs="Times New Roman"/>
          <w:sz w:val="24"/>
          <w:szCs w:val="24"/>
          <w:lang w:val="en-US" w:eastAsia="ru-RU"/>
        </w:rPr>
        <w:t>to (-18%).</w:t>
      </w:r>
      <w:r w:rsidR="003C6A1F" w:rsidRPr="003C6A1F">
        <w:rPr>
          <w:lang w:val="en-US"/>
        </w:rPr>
        <w:t xml:space="preserve"> </w:t>
      </w:r>
      <w:r w:rsidR="003C6A1F" w:rsidRPr="003C6A1F">
        <w:rPr>
          <w:rFonts w:ascii="Times New Roman" w:eastAsia="Times New Roman" w:hAnsi="Times New Roman" w:cs="Times New Roman"/>
          <w:sz w:val="24"/>
          <w:szCs w:val="24"/>
          <w:lang w:val="en-US" w:eastAsia="ru-RU"/>
        </w:rPr>
        <w:t xml:space="preserve">The profit </w:t>
      </w:r>
      <w:r w:rsidR="003C6A1F">
        <w:rPr>
          <w:rFonts w:ascii="Times New Roman" w:eastAsia="Times New Roman" w:hAnsi="Times New Roman" w:cs="Times New Roman"/>
          <w:sz w:val="24"/>
          <w:szCs w:val="24"/>
          <w:lang w:val="en-US" w:eastAsia="ru-RU"/>
        </w:rPr>
        <w:t xml:space="preserve">shrank </w:t>
      </w:r>
      <w:r w:rsidR="003C6A1F" w:rsidRPr="003C6A1F">
        <w:rPr>
          <w:rFonts w:ascii="Times New Roman" w:eastAsia="Times New Roman" w:hAnsi="Times New Roman" w:cs="Times New Roman"/>
          <w:sz w:val="24"/>
          <w:szCs w:val="24"/>
          <w:lang w:val="en-US" w:eastAsia="ru-RU"/>
        </w:rPr>
        <w:t>mo</w:t>
      </w:r>
      <w:r w:rsidR="003C6A1F">
        <w:rPr>
          <w:rFonts w:ascii="Times New Roman" w:eastAsia="Times New Roman" w:hAnsi="Times New Roman" w:cs="Times New Roman"/>
          <w:sz w:val="24"/>
          <w:szCs w:val="24"/>
          <w:lang w:val="en-US" w:eastAsia="ru-RU"/>
        </w:rPr>
        <w:t>re</w:t>
      </w:r>
      <w:r w:rsidR="003C6A1F" w:rsidRPr="003C6A1F">
        <w:rPr>
          <w:rFonts w:ascii="Times New Roman" w:eastAsia="Times New Roman" w:hAnsi="Times New Roman" w:cs="Times New Roman"/>
          <w:sz w:val="24"/>
          <w:szCs w:val="24"/>
          <w:lang w:val="en-US" w:eastAsia="ru-RU"/>
        </w:rPr>
        <w:t xml:space="preserve"> intensively </w:t>
      </w:r>
      <w:r w:rsidR="003C6A1F">
        <w:rPr>
          <w:rFonts w:ascii="Times New Roman" w:eastAsia="Times New Roman" w:hAnsi="Times New Roman" w:cs="Times New Roman"/>
          <w:sz w:val="24"/>
          <w:szCs w:val="24"/>
          <w:lang w:val="en-US" w:eastAsia="ru-RU"/>
        </w:rPr>
        <w:t xml:space="preserve">in </w:t>
      </w:r>
      <w:r w:rsidR="003C6A1F" w:rsidRPr="003C6A1F">
        <w:rPr>
          <w:rFonts w:ascii="Times New Roman" w:eastAsia="Times New Roman" w:hAnsi="Times New Roman" w:cs="Times New Roman"/>
          <w:sz w:val="24"/>
          <w:szCs w:val="24"/>
          <w:lang w:val="en-US" w:eastAsia="ru-RU"/>
        </w:rPr>
        <w:t>advertising</w:t>
      </w:r>
      <w:r w:rsidR="003C6A1F">
        <w:rPr>
          <w:rFonts w:ascii="Times New Roman" w:eastAsia="Times New Roman" w:hAnsi="Times New Roman" w:cs="Times New Roman"/>
          <w:sz w:val="24"/>
          <w:szCs w:val="24"/>
          <w:lang w:val="en-US" w:eastAsia="ru-RU"/>
        </w:rPr>
        <w:t xml:space="preserve"> and market research</w:t>
      </w:r>
      <w:r w:rsidR="003C6A1F" w:rsidRPr="003C6A1F">
        <w:rPr>
          <w:rFonts w:ascii="Times New Roman" w:eastAsia="Times New Roman" w:hAnsi="Times New Roman" w:cs="Times New Roman"/>
          <w:sz w:val="24"/>
          <w:szCs w:val="24"/>
          <w:lang w:val="en-US" w:eastAsia="ru-RU"/>
        </w:rPr>
        <w:t>, real</w:t>
      </w:r>
      <w:r w:rsidR="003C6A1F">
        <w:rPr>
          <w:rFonts w:ascii="Times New Roman" w:eastAsia="Times New Roman" w:hAnsi="Times New Roman" w:cs="Times New Roman"/>
          <w:sz w:val="24"/>
          <w:szCs w:val="24"/>
          <w:lang w:val="en-US" w:eastAsia="ru-RU"/>
        </w:rPr>
        <w:t xml:space="preserve"> estate activities </w:t>
      </w:r>
      <w:r w:rsidR="003C6A1F" w:rsidRPr="003C6A1F">
        <w:rPr>
          <w:rFonts w:ascii="Times New Roman" w:eastAsia="Times New Roman" w:hAnsi="Times New Roman" w:cs="Times New Roman"/>
          <w:sz w:val="24"/>
          <w:szCs w:val="24"/>
          <w:lang w:val="en-US" w:eastAsia="ru-RU"/>
        </w:rPr>
        <w:t>and personal services.</w:t>
      </w:r>
    </w:p>
    <w:p w:rsidR="00CC4E69" w:rsidRPr="00CC4E69" w:rsidRDefault="00CC4E69" w:rsidP="00CC4E69">
      <w:pPr>
        <w:keepNext/>
        <w:spacing w:after="0" w:line="360" w:lineRule="auto"/>
        <w:ind w:left="14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3430A031">
            <wp:extent cx="4680000" cy="172083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1720835"/>
                    </a:xfrm>
                    <a:prstGeom prst="rect">
                      <a:avLst/>
                    </a:prstGeom>
                    <a:noFill/>
                  </pic:spPr>
                </pic:pic>
              </a:graphicData>
            </a:graphic>
          </wp:inline>
        </w:drawing>
      </w:r>
    </w:p>
    <w:p w:rsidR="00CC4E69" w:rsidRPr="005845B1" w:rsidRDefault="00CC4E69" w:rsidP="00CC4E69">
      <w:pPr>
        <w:spacing w:after="240" w:line="240" w:lineRule="auto"/>
        <w:ind w:left="142"/>
        <w:jc w:val="both"/>
        <w:rPr>
          <w:rFonts w:ascii="Times New Roman" w:eastAsia="Times New Roman" w:hAnsi="Times New Roman" w:cs="Times New Roman"/>
          <w:b/>
          <w:lang w:val="en-US" w:eastAsia="ru-RU"/>
        </w:rPr>
      </w:pPr>
      <w:r w:rsidRPr="005845B1">
        <w:rPr>
          <w:rFonts w:ascii="Times New Roman" w:eastAsia="Times New Roman" w:hAnsi="Times New Roman" w:cs="Times New Roman"/>
          <w:b/>
          <w:lang w:val="en-US" w:eastAsia="ru-RU"/>
        </w:rPr>
        <w:t xml:space="preserve">Fig. </w:t>
      </w:r>
      <w:r w:rsidR="00852818">
        <w:rPr>
          <w:rFonts w:ascii="Times New Roman" w:eastAsia="Times New Roman" w:hAnsi="Times New Roman" w:cs="Times New Roman"/>
          <w:b/>
          <w:lang w:val="en-US" w:eastAsia="ru-RU"/>
        </w:rPr>
        <w:t>7</w:t>
      </w:r>
      <w:r w:rsidRPr="005845B1">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Profits</w:t>
      </w:r>
      <w:r w:rsidR="00852818">
        <w:rPr>
          <w:rFonts w:ascii="Times New Roman" w:eastAsia="Times New Roman" w:hAnsi="Times New Roman" w:cs="Times New Roman"/>
          <w:b/>
          <w:lang w:val="en-US" w:eastAsia="ru-RU"/>
        </w:rPr>
        <w:t>;</w:t>
      </w:r>
      <w:r>
        <w:rPr>
          <w:rFonts w:ascii="Times New Roman" w:eastAsia="Times New Roman" w:hAnsi="Times New Roman" w:cs="Times New Roman"/>
          <w:b/>
          <w:lang w:val="en-US" w:eastAsia="ru-RU"/>
        </w:rPr>
        <w:t xml:space="preserve"> past </w:t>
      </w:r>
      <w:r w:rsidR="00852818">
        <w:rPr>
          <w:rFonts w:ascii="Times New Roman" w:eastAsia="Times New Roman" w:hAnsi="Times New Roman" w:cs="Times New Roman"/>
          <w:b/>
          <w:lang w:val="en-US" w:eastAsia="ru-RU"/>
        </w:rPr>
        <w:t xml:space="preserve">changes </w:t>
      </w:r>
      <w:r>
        <w:rPr>
          <w:rFonts w:ascii="Times New Roman" w:eastAsia="Times New Roman" w:hAnsi="Times New Roman" w:cs="Times New Roman"/>
          <w:b/>
          <w:lang w:val="en-US" w:eastAsia="ru-RU"/>
        </w:rPr>
        <w:t>and expectations</w:t>
      </w:r>
      <w:r w:rsidRPr="005845B1">
        <w:rPr>
          <w:rFonts w:ascii="Times New Roman" w:eastAsia="Times New Roman" w:hAnsi="Times New Roman" w:cs="Times New Roman"/>
          <w:b/>
          <w:lang w:val="en-US" w:eastAsia="ru-RU"/>
        </w:rPr>
        <w:t>; balances, %</w:t>
      </w:r>
    </w:p>
    <w:p w:rsidR="003C6A1F" w:rsidRDefault="00852818" w:rsidP="00560B4E">
      <w:pPr>
        <w:spacing w:after="0" w:line="360" w:lineRule="auto"/>
        <w:ind w:left="142" w:firstLine="709"/>
        <w:jc w:val="both"/>
        <w:rPr>
          <w:rFonts w:ascii="Times New Roman" w:eastAsia="Times New Roman" w:hAnsi="Times New Roman" w:cs="Times New Roman"/>
          <w:sz w:val="24"/>
          <w:szCs w:val="24"/>
          <w:lang w:val="en-US" w:eastAsia="ru-RU"/>
        </w:rPr>
      </w:pPr>
      <w:r w:rsidRPr="00852818">
        <w:rPr>
          <w:rFonts w:ascii="Times New Roman" w:eastAsia="Times New Roman" w:hAnsi="Times New Roman" w:cs="Times New Roman"/>
          <w:sz w:val="24"/>
          <w:szCs w:val="24"/>
          <w:lang w:val="en-US" w:eastAsia="ru-RU"/>
        </w:rPr>
        <w:t>Among t</w:t>
      </w:r>
      <w:r w:rsidR="003C6A1F" w:rsidRPr="00852818">
        <w:rPr>
          <w:rFonts w:ascii="Times New Roman" w:eastAsia="Times New Roman" w:hAnsi="Times New Roman" w:cs="Times New Roman"/>
          <w:sz w:val="24"/>
          <w:szCs w:val="24"/>
          <w:lang w:val="en-US" w:eastAsia="ru-RU"/>
        </w:rPr>
        <w:t>he</w:t>
      </w:r>
      <w:r w:rsidR="004F673A" w:rsidRPr="00852818">
        <w:rPr>
          <w:lang w:val="en-US"/>
        </w:rPr>
        <w:t xml:space="preserve"> </w:t>
      </w:r>
      <w:r w:rsidR="004F673A" w:rsidRPr="00786594">
        <w:rPr>
          <w:rFonts w:ascii="Times New Roman" w:eastAsia="Times New Roman" w:hAnsi="Times New Roman" w:cs="Times New Roman"/>
          <w:i/>
          <w:sz w:val="24"/>
          <w:szCs w:val="24"/>
          <w:lang w:val="en-US" w:eastAsia="ru-RU"/>
        </w:rPr>
        <w:t>limiting</w:t>
      </w:r>
      <w:r w:rsidR="003C6A1F" w:rsidRPr="00786594">
        <w:rPr>
          <w:rFonts w:ascii="Times New Roman" w:eastAsia="Times New Roman" w:hAnsi="Times New Roman" w:cs="Times New Roman"/>
          <w:i/>
          <w:sz w:val="24"/>
          <w:szCs w:val="24"/>
          <w:lang w:val="en-US" w:eastAsia="ru-RU"/>
        </w:rPr>
        <w:t xml:space="preserve"> factors</w:t>
      </w:r>
      <w:r w:rsidRPr="00852818">
        <w:rPr>
          <w:rFonts w:ascii="Times New Roman" w:eastAsia="Times New Roman" w:hAnsi="Times New Roman" w:cs="Times New Roman"/>
          <w:sz w:val="24"/>
          <w:szCs w:val="24"/>
          <w:lang w:val="en-US" w:eastAsia="ru-RU"/>
        </w:rPr>
        <w:t xml:space="preserve">, insufficient </w:t>
      </w:r>
      <w:r w:rsidR="003C6A1F" w:rsidRPr="00852818">
        <w:rPr>
          <w:rFonts w:ascii="Times New Roman" w:eastAsia="Times New Roman" w:hAnsi="Times New Roman" w:cs="Times New Roman"/>
          <w:sz w:val="24"/>
          <w:szCs w:val="24"/>
          <w:lang w:val="en-US" w:eastAsia="ru-RU"/>
        </w:rPr>
        <w:t xml:space="preserve">demand for services </w:t>
      </w:r>
      <w:r w:rsidRPr="00852818">
        <w:rPr>
          <w:rFonts w:ascii="Times New Roman" w:eastAsia="Times New Roman" w:hAnsi="Times New Roman" w:cs="Times New Roman"/>
          <w:sz w:val="24"/>
          <w:szCs w:val="24"/>
          <w:lang w:val="en-US" w:eastAsia="ru-RU"/>
        </w:rPr>
        <w:t>exerts the greatest pressure on business as almos</w:t>
      </w:r>
      <w:r w:rsidR="003C6A1F" w:rsidRPr="00852818">
        <w:rPr>
          <w:rFonts w:ascii="Times New Roman" w:eastAsia="Times New Roman" w:hAnsi="Times New Roman" w:cs="Times New Roman"/>
          <w:sz w:val="24"/>
          <w:szCs w:val="24"/>
          <w:lang w:val="en-US" w:eastAsia="ru-RU"/>
        </w:rPr>
        <w:t xml:space="preserve">t half </w:t>
      </w:r>
      <w:r w:rsidRPr="00852818">
        <w:rPr>
          <w:rFonts w:ascii="Times New Roman" w:eastAsia="Times New Roman" w:hAnsi="Times New Roman" w:cs="Times New Roman"/>
          <w:sz w:val="24"/>
          <w:szCs w:val="24"/>
          <w:lang w:val="en-US" w:eastAsia="ru-RU"/>
        </w:rPr>
        <w:t xml:space="preserve">(47%) </w:t>
      </w:r>
      <w:r w:rsidR="003C6A1F" w:rsidRPr="00852818">
        <w:rPr>
          <w:rFonts w:ascii="Times New Roman" w:eastAsia="Times New Roman" w:hAnsi="Times New Roman" w:cs="Times New Roman"/>
          <w:sz w:val="24"/>
          <w:szCs w:val="24"/>
          <w:lang w:val="en-US" w:eastAsia="ru-RU"/>
        </w:rPr>
        <w:t>of</w:t>
      </w:r>
      <w:r w:rsidRPr="00852818">
        <w:rPr>
          <w:rFonts w:ascii="Times New Roman" w:eastAsia="Times New Roman" w:hAnsi="Times New Roman" w:cs="Times New Roman"/>
          <w:sz w:val="24"/>
          <w:szCs w:val="24"/>
          <w:lang w:val="en-US" w:eastAsia="ru-RU"/>
        </w:rPr>
        <w:t xml:space="preserve"> respondent consider</w:t>
      </w:r>
      <w:proofErr w:type="gramStart"/>
      <w:r w:rsidRPr="00852818">
        <w:rPr>
          <w:rFonts w:ascii="Times New Roman" w:eastAsia="Times New Roman" w:hAnsi="Times New Roman" w:cs="Times New Roman"/>
          <w:sz w:val="24"/>
          <w:szCs w:val="24"/>
          <w:lang w:val="en-US" w:eastAsia="ru-RU"/>
        </w:rPr>
        <w:t>;</w:t>
      </w:r>
      <w:proofErr w:type="gramEnd"/>
      <w:r w:rsidRPr="00852818">
        <w:rPr>
          <w:rFonts w:ascii="Times New Roman" w:eastAsia="Times New Roman" w:hAnsi="Times New Roman" w:cs="Times New Roman"/>
          <w:sz w:val="24"/>
          <w:szCs w:val="24"/>
          <w:lang w:val="en-US" w:eastAsia="ru-RU"/>
        </w:rPr>
        <w:t xml:space="preserve"> although, it is </w:t>
      </w:r>
      <w:r w:rsidR="005F1494">
        <w:rPr>
          <w:rFonts w:ascii="Times New Roman" w:eastAsia="Times New Roman" w:hAnsi="Times New Roman" w:cs="Times New Roman"/>
          <w:sz w:val="24"/>
          <w:szCs w:val="24"/>
          <w:lang w:val="en-US" w:eastAsia="ru-RU"/>
        </w:rPr>
        <w:t xml:space="preserve">by </w:t>
      </w:r>
      <w:r w:rsidRPr="00852818">
        <w:rPr>
          <w:rFonts w:ascii="Times New Roman" w:eastAsia="Times New Roman" w:hAnsi="Times New Roman" w:cs="Times New Roman"/>
          <w:sz w:val="24"/>
          <w:szCs w:val="24"/>
          <w:lang w:val="en-US" w:eastAsia="ru-RU"/>
        </w:rPr>
        <w:t>5 points lower than in the beginning of 2016</w:t>
      </w:r>
      <w:r w:rsidR="003A654C">
        <w:rPr>
          <w:rFonts w:ascii="Times New Roman" w:eastAsia="Times New Roman" w:hAnsi="Times New Roman" w:cs="Times New Roman"/>
          <w:sz w:val="24"/>
          <w:szCs w:val="24"/>
          <w:lang w:val="en-US" w:eastAsia="ru-RU"/>
        </w:rPr>
        <w:t xml:space="preserve"> (Fig. 8)</w:t>
      </w:r>
      <w:r>
        <w:rPr>
          <w:rFonts w:ascii="Times New Roman" w:eastAsia="Times New Roman" w:hAnsi="Times New Roman" w:cs="Times New Roman"/>
          <w:sz w:val="24"/>
          <w:szCs w:val="24"/>
          <w:lang w:val="en-US" w:eastAsia="ru-RU"/>
        </w:rPr>
        <w:t>.</w:t>
      </w:r>
      <w:r w:rsidR="003C6A1F" w:rsidRPr="00852818">
        <w:rPr>
          <w:rFonts w:ascii="Times New Roman" w:eastAsia="Times New Roman" w:hAnsi="Times New Roman" w:cs="Times New Roman"/>
          <w:sz w:val="24"/>
          <w:szCs w:val="24"/>
          <w:lang w:val="en-US" w:eastAsia="ru-RU"/>
        </w:rPr>
        <w:t xml:space="preserve"> </w:t>
      </w:r>
      <w:r w:rsidRPr="00852818">
        <w:rPr>
          <w:rFonts w:ascii="Times New Roman" w:eastAsia="Times New Roman" w:hAnsi="Times New Roman" w:cs="Times New Roman"/>
          <w:sz w:val="24"/>
          <w:szCs w:val="24"/>
          <w:lang w:val="en-US" w:eastAsia="ru-RU"/>
        </w:rPr>
        <w:t xml:space="preserve">The </w:t>
      </w:r>
      <w:r w:rsidR="003C6A1F" w:rsidRPr="00852818">
        <w:rPr>
          <w:rFonts w:ascii="Times New Roman" w:eastAsia="Times New Roman" w:hAnsi="Times New Roman" w:cs="Times New Roman"/>
          <w:sz w:val="24"/>
          <w:szCs w:val="24"/>
          <w:lang w:val="en-US" w:eastAsia="ru-RU"/>
        </w:rPr>
        <w:t xml:space="preserve">financial </w:t>
      </w:r>
      <w:r w:rsidRPr="00852818">
        <w:rPr>
          <w:rFonts w:ascii="Times New Roman" w:eastAsia="Times New Roman" w:hAnsi="Times New Roman" w:cs="Times New Roman"/>
          <w:sz w:val="24"/>
          <w:szCs w:val="24"/>
          <w:lang w:val="en-US" w:eastAsia="ru-RU"/>
        </w:rPr>
        <w:t>constraint and high taxation level are the other two main problems of services organizations</w:t>
      </w:r>
      <w:r w:rsidR="003C6A1F" w:rsidRPr="00852818">
        <w:rPr>
          <w:rFonts w:ascii="Times New Roman" w:eastAsia="Times New Roman" w:hAnsi="Times New Roman" w:cs="Times New Roman"/>
          <w:sz w:val="24"/>
          <w:szCs w:val="24"/>
          <w:lang w:val="en-US" w:eastAsia="ru-RU"/>
        </w:rPr>
        <w:t>.</w:t>
      </w:r>
    </w:p>
    <w:p w:rsidR="003A654C" w:rsidRPr="003A654C" w:rsidRDefault="003A654C" w:rsidP="003A654C">
      <w:pPr>
        <w:keepNext/>
        <w:spacing w:after="120" w:line="240" w:lineRule="auto"/>
        <w:jc w:val="center"/>
        <w:rPr>
          <w:rFonts w:ascii="OfficinaSansCTT" w:eastAsia="Times New Roman" w:hAnsi="OfficinaSansCTT" w:cs="Times New Roman"/>
          <w:i/>
          <w:noProof/>
          <w:lang w:eastAsia="ru-RU"/>
        </w:rPr>
      </w:pPr>
      <w:r>
        <w:rPr>
          <w:rFonts w:ascii="OfficinaSansCTT" w:eastAsia="Times New Roman" w:hAnsi="OfficinaSansCTT" w:cs="Times New Roman"/>
          <w:i/>
          <w:noProof/>
          <w:lang w:eastAsia="ru-RU"/>
        </w:rPr>
        <w:drawing>
          <wp:inline distT="0" distB="0" distL="0" distR="0" wp14:anchorId="09EBC719">
            <wp:extent cx="4680000" cy="2198202"/>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198202"/>
                    </a:xfrm>
                    <a:prstGeom prst="rect">
                      <a:avLst/>
                    </a:prstGeom>
                    <a:noFill/>
                  </pic:spPr>
                </pic:pic>
              </a:graphicData>
            </a:graphic>
          </wp:inline>
        </w:drawing>
      </w:r>
    </w:p>
    <w:p w:rsidR="004F673A" w:rsidRPr="005845B1" w:rsidRDefault="004F673A" w:rsidP="004F673A">
      <w:pPr>
        <w:spacing w:after="240" w:line="240" w:lineRule="auto"/>
        <w:ind w:left="142"/>
        <w:jc w:val="both"/>
        <w:rPr>
          <w:rFonts w:ascii="Times New Roman" w:eastAsia="Times New Roman" w:hAnsi="Times New Roman" w:cs="Times New Roman"/>
          <w:b/>
          <w:lang w:val="en-US" w:eastAsia="ru-RU"/>
        </w:rPr>
      </w:pPr>
      <w:r w:rsidRPr="005845B1">
        <w:rPr>
          <w:rFonts w:ascii="Times New Roman" w:eastAsia="Times New Roman" w:hAnsi="Times New Roman" w:cs="Times New Roman"/>
          <w:b/>
          <w:lang w:val="en-US" w:eastAsia="ru-RU"/>
        </w:rPr>
        <w:t xml:space="preserve">Fig. </w:t>
      </w:r>
      <w:r w:rsidR="00852818">
        <w:rPr>
          <w:rFonts w:ascii="Times New Roman" w:eastAsia="Times New Roman" w:hAnsi="Times New Roman" w:cs="Times New Roman"/>
          <w:b/>
          <w:lang w:val="en-US" w:eastAsia="ru-RU"/>
        </w:rPr>
        <w:t>8</w:t>
      </w:r>
      <w:r w:rsidRPr="005845B1">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Main limiting factors, 2012-2017</w:t>
      </w:r>
      <w:r w:rsidRPr="005845B1">
        <w:rPr>
          <w:rFonts w:ascii="Times New Roman" w:eastAsia="Times New Roman" w:hAnsi="Times New Roman" w:cs="Times New Roman"/>
          <w:b/>
          <w:lang w:val="en-US" w:eastAsia="ru-RU"/>
        </w:rPr>
        <w:t xml:space="preserve">, </w:t>
      </w:r>
      <w:r w:rsidRPr="004F673A">
        <w:rPr>
          <w:rFonts w:ascii="Times New Roman" w:eastAsia="Times New Roman" w:hAnsi="Times New Roman" w:cs="Times New Roman"/>
          <w:b/>
          <w:lang w:val="en-US" w:eastAsia="ru-RU"/>
        </w:rPr>
        <w:t>%</w:t>
      </w:r>
    </w:p>
    <w:p w:rsidR="00D74BC6" w:rsidRDefault="009005D3" w:rsidP="00560B4E">
      <w:pPr>
        <w:spacing w:after="0" w:line="360" w:lineRule="auto"/>
        <w:ind w:left="142" w:firstLine="709"/>
        <w:jc w:val="both"/>
        <w:rPr>
          <w:rFonts w:ascii="Times New Roman" w:eastAsia="Times New Roman" w:hAnsi="Times New Roman" w:cs="Times New Roman"/>
          <w:sz w:val="24"/>
          <w:szCs w:val="24"/>
          <w:lang w:val="en-US" w:eastAsia="ru-RU"/>
        </w:rPr>
      </w:pPr>
      <w:r w:rsidRPr="009005D3">
        <w:rPr>
          <w:rFonts w:ascii="Times New Roman" w:eastAsia="Times New Roman" w:hAnsi="Times New Roman" w:cs="Times New Roman"/>
          <w:sz w:val="24"/>
          <w:szCs w:val="24"/>
          <w:lang w:val="en-US" w:eastAsia="ru-RU"/>
        </w:rPr>
        <w:t xml:space="preserve">The negative impact of unfair competition and qualified personnel </w:t>
      </w:r>
      <w:r w:rsidR="005F1494" w:rsidRPr="005F1494">
        <w:rPr>
          <w:rFonts w:ascii="Times New Roman" w:eastAsia="Times New Roman" w:hAnsi="Times New Roman" w:cs="Times New Roman"/>
          <w:sz w:val="24"/>
          <w:szCs w:val="24"/>
          <w:lang w:val="en-US" w:eastAsia="ru-RU"/>
        </w:rPr>
        <w:t xml:space="preserve">shortage </w:t>
      </w:r>
      <w:r w:rsidR="005F1494">
        <w:rPr>
          <w:rFonts w:ascii="Times New Roman" w:eastAsia="Times New Roman" w:hAnsi="Times New Roman" w:cs="Times New Roman"/>
          <w:sz w:val="24"/>
          <w:szCs w:val="24"/>
          <w:lang w:val="en-US" w:eastAsia="ru-RU"/>
        </w:rPr>
        <w:t>are</w:t>
      </w:r>
      <w:r w:rsidRPr="009005D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marked </w:t>
      </w:r>
      <w:r w:rsidRPr="009005D3">
        <w:rPr>
          <w:rFonts w:ascii="Times New Roman" w:eastAsia="Times New Roman" w:hAnsi="Times New Roman" w:cs="Times New Roman"/>
          <w:sz w:val="24"/>
          <w:szCs w:val="24"/>
          <w:lang w:val="en-US" w:eastAsia="ru-RU"/>
        </w:rPr>
        <w:t xml:space="preserve">much less often. </w:t>
      </w:r>
      <w:r>
        <w:rPr>
          <w:rFonts w:ascii="Times New Roman" w:eastAsia="Times New Roman" w:hAnsi="Times New Roman" w:cs="Times New Roman"/>
          <w:sz w:val="24"/>
          <w:szCs w:val="24"/>
          <w:lang w:val="en-US" w:eastAsia="ru-RU"/>
        </w:rPr>
        <w:t>The most of respondent d</w:t>
      </w:r>
      <w:r w:rsidR="005F1494">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 xml:space="preserve"> not </w:t>
      </w:r>
      <w:r w:rsidR="00D74BC6" w:rsidRPr="009005D3">
        <w:rPr>
          <w:rFonts w:ascii="Times New Roman" w:eastAsia="Times New Roman" w:hAnsi="Times New Roman" w:cs="Times New Roman"/>
          <w:sz w:val="24"/>
          <w:szCs w:val="24"/>
          <w:lang w:val="en-US" w:eastAsia="ru-RU"/>
        </w:rPr>
        <w:t>mention</w:t>
      </w:r>
      <w:r w:rsidRPr="009005D3">
        <w:rPr>
          <w:rFonts w:ascii="Times New Roman" w:eastAsia="Times New Roman" w:hAnsi="Times New Roman" w:cs="Times New Roman"/>
          <w:sz w:val="24"/>
          <w:szCs w:val="24"/>
          <w:lang w:val="en-US" w:eastAsia="ru-RU"/>
        </w:rPr>
        <w:t xml:space="preserve"> </w:t>
      </w:r>
      <w:r w:rsidR="005F1494">
        <w:rPr>
          <w:rFonts w:ascii="Times New Roman" w:eastAsia="Times New Roman" w:hAnsi="Times New Roman" w:cs="Times New Roman"/>
          <w:sz w:val="24"/>
          <w:szCs w:val="24"/>
          <w:lang w:val="en-US" w:eastAsia="ru-RU"/>
        </w:rPr>
        <w:t>a</w:t>
      </w:r>
      <w:r w:rsidRPr="009005D3">
        <w:rPr>
          <w:rFonts w:ascii="Times New Roman" w:eastAsia="Times New Roman" w:hAnsi="Times New Roman" w:cs="Times New Roman"/>
          <w:sz w:val="24"/>
          <w:szCs w:val="24"/>
          <w:lang w:val="en-US" w:eastAsia="ru-RU"/>
        </w:rPr>
        <w:t xml:space="preserve"> lack of space and/or equipment, inadequate legislation and authorities’ corruption as significant problems</w:t>
      </w:r>
      <w:r w:rsidR="003A654C">
        <w:rPr>
          <w:rFonts w:ascii="Times New Roman" w:eastAsia="Times New Roman" w:hAnsi="Times New Roman" w:cs="Times New Roman"/>
          <w:sz w:val="24"/>
          <w:szCs w:val="24"/>
          <w:lang w:val="en-US" w:eastAsia="ru-RU"/>
        </w:rPr>
        <w:t xml:space="preserve"> (Fig. 9)</w:t>
      </w:r>
      <w:r w:rsidRPr="009005D3">
        <w:rPr>
          <w:rFonts w:ascii="Times New Roman" w:eastAsia="Times New Roman" w:hAnsi="Times New Roman" w:cs="Times New Roman"/>
          <w:sz w:val="24"/>
          <w:szCs w:val="24"/>
          <w:lang w:val="en-US" w:eastAsia="ru-RU"/>
        </w:rPr>
        <w:t>.</w:t>
      </w:r>
    </w:p>
    <w:p w:rsidR="003A654C" w:rsidRPr="003A654C" w:rsidRDefault="003A654C" w:rsidP="003A654C">
      <w:pPr>
        <w:keepNext/>
        <w:spacing w:after="0" w:line="360" w:lineRule="auto"/>
        <w:ind w:left="142"/>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CAE024F">
            <wp:extent cx="4320000" cy="2679901"/>
            <wp:effectExtent l="0" t="0" r="444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2679901"/>
                    </a:xfrm>
                    <a:prstGeom prst="rect">
                      <a:avLst/>
                    </a:prstGeom>
                    <a:noFill/>
                  </pic:spPr>
                </pic:pic>
              </a:graphicData>
            </a:graphic>
          </wp:inline>
        </w:drawing>
      </w:r>
    </w:p>
    <w:p w:rsidR="004F673A" w:rsidRPr="005845B1" w:rsidRDefault="004F673A" w:rsidP="004F673A">
      <w:pPr>
        <w:spacing w:after="240" w:line="240" w:lineRule="auto"/>
        <w:ind w:left="142"/>
        <w:jc w:val="both"/>
        <w:rPr>
          <w:rFonts w:ascii="Times New Roman" w:eastAsia="Times New Roman" w:hAnsi="Times New Roman" w:cs="Times New Roman"/>
          <w:b/>
          <w:lang w:val="en-US" w:eastAsia="ru-RU"/>
        </w:rPr>
      </w:pPr>
      <w:r w:rsidRPr="005845B1">
        <w:rPr>
          <w:rFonts w:ascii="Times New Roman" w:eastAsia="Times New Roman" w:hAnsi="Times New Roman" w:cs="Times New Roman"/>
          <w:b/>
          <w:lang w:val="en-US" w:eastAsia="ru-RU"/>
        </w:rPr>
        <w:t xml:space="preserve">Fig. </w:t>
      </w:r>
      <w:r w:rsidR="003A654C">
        <w:rPr>
          <w:rFonts w:ascii="Times New Roman" w:eastAsia="Times New Roman" w:hAnsi="Times New Roman" w:cs="Times New Roman"/>
          <w:b/>
          <w:lang w:val="en-US" w:eastAsia="ru-RU"/>
        </w:rPr>
        <w:t>9</w:t>
      </w:r>
      <w:r w:rsidRPr="005845B1">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Limiting factors, 2017 Q4</w:t>
      </w:r>
      <w:r w:rsidRPr="005845B1">
        <w:rPr>
          <w:rFonts w:ascii="Times New Roman" w:eastAsia="Times New Roman" w:hAnsi="Times New Roman" w:cs="Times New Roman"/>
          <w:b/>
          <w:lang w:val="en-US" w:eastAsia="ru-RU"/>
        </w:rPr>
        <w:t>, %</w:t>
      </w:r>
    </w:p>
    <w:p w:rsidR="0055555F" w:rsidRPr="00EF5BE4" w:rsidRDefault="00786C06" w:rsidP="00786C06">
      <w:pPr>
        <w:spacing w:after="0" w:line="360" w:lineRule="auto"/>
        <w:ind w:left="142" w:firstLine="709"/>
        <w:jc w:val="both"/>
        <w:rPr>
          <w:rFonts w:ascii="Times New Roman" w:eastAsia="Times New Roman" w:hAnsi="Times New Roman" w:cs="Times New Roman"/>
          <w:sz w:val="24"/>
          <w:szCs w:val="24"/>
          <w:lang w:val="en-US" w:eastAsia="ru-RU"/>
        </w:rPr>
      </w:pPr>
      <w:r w:rsidRPr="00786C06">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 xml:space="preserve">limiting </w:t>
      </w:r>
      <w:r w:rsidRPr="00786C06">
        <w:rPr>
          <w:rFonts w:ascii="Times New Roman" w:eastAsia="Times New Roman" w:hAnsi="Times New Roman" w:cs="Times New Roman"/>
          <w:sz w:val="24"/>
          <w:szCs w:val="24"/>
          <w:lang w:val="en-US" w:eastAsia="ru-RU"/>
        </w:rPr>
        <w:t xml:space="preserve">factor </w:t>
      </w:r>
      <w:r w:rsidR="005F1494">
        <w:rPr>
          <w:rFonts w:ascii="Times New Roman" w:eastAsia="Times New Roman" w:hAnsi="Times New Roman" w:cs="Times New Roman"/>
          <w:sz w:val="24"/>
          <w:szCs w:val="24"/>
          <w:lang w:val="en-US" w:eastAsia="ru-RU"/>
        </w:rPr>
        <w:t>“</w:t>
      </w:r>
      <w:r w:rsidRPr="005F1494">
        <w:rPr>
          <w:rFonts w:ascii="Times New Roman" w:eastAsia="Times New Roman" w:hAnsi="Times New Roman" w:cs="Times New Roman"/>
          <w:i/>
          <w:sz w:val="24"/>
          <w:szCs w:val="24"/>
          <w:lang w:val="en-US" w:eastAsia="ru-RU"/>
        </w:rPr>
        <w:t>corruption</w:t>
      </w:r>
      <w:r w:rsidR="005F1494">
        <w:rPr>
          <w:rFonts w:ascii="Times New Roman" w:eastAsia="Times New Roman" w:hAnsi="Times New Roman" w:cs="Times New Roman"/>
          <w:i/>
          <w:sz w:val="24"/>
          <w:szCs w:val="24"/>
          <w:lang w:val="en-US" w:eastAsia="ru-RU"/>
        </w:rPr>
        <w:t xml:space="preserve">” </w:t>
      </w:r>
      <w:r w:rsidRPr="00786C06">
        <w:rPr>
          <w:rFonts w:ascii="Times New Roman" w:eastAsia="Times New Roman" w:hAnsi="Times New Roman" w:cs="Times New Roman"/>
          <w:sz w:val="24"/>
          <w:szCs w:val="24"/>
          <w:lang w:val="en-US" w:eastAsia="ru-RU"/>
        </w:rPr>
        <w:t xml:space="preserve">is not included in the questionnaires of regular industry, construction and trade </w:t>
      </w:r>
      <w:r w:rsidR="005F1494" w:rsidRPr="005F1494">
        <w:rPr>
          <w:rFonts w:ascii="Times New Roman" w:eastAsia="Times New Roman" w:hAnsi="Times New Roman" w:cs="Times New Roman"/>
          <w:sz w:val="24"/>
          <w:szCs w:val="24"/>
          <w:lang w:val="en-US" w:eastAsia="ru-RU"/>
        </w:rPr>
        <w:t xml:space="preserve">BTS </w:t>
      </w:r>
      <w:r w:rsidRPr="00786C06">
        <w:rPr>
          <w:rFonts w:ascii="Times New Roman" w:eastAsia="Times New Roman" w:hAnsi="Times New Roman" w:cs="Times New Roman"/>
          <w:sz w:val="24"/>
          <w:szCs w:val="24"/>
          <w:lang w:val="en-US" w:eastAsia="ru-RU"/>
        </w:rPr>
        <w:t>due to the</w:t>
      </w:r>
      <w:r>
        <w:rPr>
          <w:rFonts w:ascii="Times New Roman" w:eastAsia="Times New Roman" w:hAnsi="Times New Roman" w:cs="Times New Roman"/>
          <w:sz w:val="24"/>
          <w:szCs w:val="24"/>
          <w:lang w:val="en-US" w:eastAsia="ru-RU"/>
        </w:rPr>
        <w:t>ir</w:t>
      </w:r>
      <w:r w:rsidRPr="00786C06">
        <w:rPr>
          <w:rFonts w:ascii="Times New Roman" w:eastAsia="Times New Roman" w:hAnsi="Times New Roman" w:cs="Times New Roman"/>
          <w:sz w:val="24"/>
          <w:szCs w:val="24"/>
          <w:lang w:val="en-US" w:eastAsia="ru-RU"/>
        </w:rPr>
        <w:t xml:space="preserve"> harmonization with </w:t>
      </w:r>
      <w:r>
        <w:rPr>
          <w:rFonts w:ascii="Times New Roman" w:eastAsia="Times New Roman" w:hAnsi="Times New Roman" w:cs="Times New Roman"/>
          <w:sz w:val="24"/>
          <w:szCs w:val="24"/>
          <w:lang w:val="en-US" w:eastAsia="ru-RU"/>
        </w:rPr>
        <w:t xml:space="preserve">the </w:t>
      </w:r>
      <w:r w:rsidR="003A654C">
        <w:rPr>
          <w:rFonts w:ascii="Times New Roman" w:eastAsia="Times New Roman" w:hAnsi="Times New Roman" w:cs="Times New Roman"/>
          <w:sz w:val="24"/>
          <w:szCs w:val="24"/>
          <w:lang w:val="en-US" w:eastAsia="ru-RU"/>
        </w:rPr>
        <w:t>European counterparts</w:t>
      </w:r>
      <w:r w:rsidRPr="00786C06">
        <w:rPr>
          <w:rFonts w:ascii="Times New Roman" w:eastAsia="Times New Roman" w:hAnsi="Times New Roman" w:cs="Times New Roman"/>
          <w:sz w:val="24"/>
          <w:szCs w:val="24"/>
          <w:lang w:val="en-US" w:eastAsia="ru-RU"/>
        </w:rPr>
        <w:t xml:space="preserve">. However, corruption </w:t>
      </w:r>
      <w:r w:rsidR="003A654C" w:rsidRPr="003A654C">
        <w:rPr>
          <w:rFonts w:ascii="Times New Roman" w:eastAsia="Times New Roman" w:hAnsi="Times New Roman" w:cs="Times New Roman"/>
          <w:sz w:val="24"/>
          <w:szCs w:val="24"/>
          <w:lang w:val="en-US" w:eastAsia="ru-RU"/>
        </w:rPr>
        <w:t xml:space="preserve">problem </w:t>
      </w:r>
      <w:r w:rsidRPr="00786C06">
        <w:rPr>
          <w:rFonts w:ascii="Times New Roman" w:eastAsia="Times New Roman" w:hAnsi="Times New Roman" w:cs="Times New Roman"/>
          <w:sz w:val="24"/>
          <w:szCs w:val="24"/>
          <w:lang w:val="en-US" w:eastAsia="ru-RU"/>
        </w:rPr>
        <w:t xml:space="preserve">in Russia </w:t>
      </w:r>
      <w:r w:rsidR="003A654C" w:rsidRPr="003A654C">
        <w:rPr>
          <w:rFonts w:ascii="Times New Roman" w:eastAsia="Times New Roman" w:hAnsi="Times New Roman" w:cs="Times New Roman"/>
          <w:sz w:val="24"/>
          <w:szCs w:val="24"/>
          <w:lang w:val="en-US" w:eastAsia="ru-RU"/>
        </w:rPr>
        <w:t>is of particular interest</w:t>
      </w:r>
      <w:r w:rsidRPr="00786C06">
        <w:rPr>
          <w:rFonts w:ascii="Times New Roman" w:eastAsia="Times New Roman" w:hAnsi="Times New Roman" w:cs="Times New Roman"/>
          <w:sz w:val="24"/>
          <w:szCs w:val="24"/>
          <w:lang w:val="en-US" w:eastAsia="ru-RU"/>
        </w:rPr>
        <w:t xml:space="preserve">, so this </w:t>
      </w:r>
      <w:r>
        <w:rPr>
          <w:rFonts w:ascii="Times New Roman" w:eastAsia="Times New Roman" w:hAnsi="Times New Roman" w:cs="Times New Roman"/>
          <w:sz w:val="24"/>
          <w:szCs w:val="24"/>
          <w:lang w:val="en-US" w:eastAsia="ru-RU"/>
        </w:rPr>
        <w:t xml:space="preserve">question </w:t>
      </w:r>
      <w:proofErr w:type="gramStart"/>
      <w:r w:rsidR="005F1494">
        <w:rPr>
          <w:rFonts w:ascii="Times New Roman" w:eastAsia="Times New Roman" w:hAnsi="Times New Roman" w:cs="Times New Roman"/>
          <w:sz w:val="24"/>
          <w:szCs w:val="24"/>
          <w:lang w:val="en-US" w:eastAsia="ru-RU"/>
        </w:rPr>
        <w:t>is</w:t>
      </w:r>
      <w:r w:rsidRPr="00786C06">
        <w:rPr>
          <w:rFonts w:ascii="Times New Roman" w:eastAsia="Times New Roman" w:hAnsi="Times New Roman" w:cs="Times New Roman"/>
          <w:sz w:val="24"/>
          <w:szCs w:val="24"/>
          <w:lang w:val="en-US" w:eastAsia="ru-RU"/>
        </w:rPr>
        <w:t xml:space="preserve"> added</w:t>
      </w:r>
      <w:proofErr w:type="gramEnd"/>
      <w:r w:rsidRPr="00786C06">
        <w:rPr>
          <w:rFonts w:ascii="Times New Roman" w:eastAsia="Times New Roman" w:hAnsi="Times New Roman" w:cs="Times New Roman"/>
          <w:sz w:val="24"/>
          <w:szCs w:val="24"/>
          <w:lang w:val="en-US" w:eastAsia="ru-RU"/>
        </w:rPr>
        <w:t xml:space="preserve"> to the </w:t>
      </w:r>
      <w:r w:rsidR="001F19AE" w:rsidRPr="001F19AE">
        <w:rPr>
          <w:rFonts w:ascii="Times New Roman" w:eastAsia="Times New Roman" w:hAnsi="Times New Roman" w:cs="Times New Roman"/>
          <w:sz w:val="24"/>
          <w:szCs w:val="24"/>
          <w:lang w:val="en-US" w:eastAsia="ru-RU"/>
        </w:rPr>
        <w:t xml:space="preserve">services </w:t>
      </w:r>
      <w:r w:rsidRPr="00786C06">
        <w:rPr>
          <w:rFonts w:ascii="Times New Roman" w:eastAsia="Times New Roman" w:hAnsi="Times New Roman" w:cs="Times New Roman"/>
          <w:sz w:val="24"/>
          <w:szCs w:val="24"/>
          <w:lang w:val="en-US" w:eastAsia="ru-RU"/>
        </w:rPr>
        <w:t xml:space="preserve">questionnaire. </w:t>
      </w:r>
      <w:r>
        <w:rPr>
          <w:rFonts w:ascii="Times New Roman" w:eastAsia="Times New Roman" w:hAnsi="Times New Roman" w:cs="Times New Roman"/>
          <w:sz w:val="24"/>
          <w:szCs w:val="24"/>
          <w:lang w:val="en-US" w:eastAsia="ru-RU"/>
        </w:rPr>
        <w:t xml:space="preserve">Aggregate </w:t>
      </w:r>
      <w:r w:rsidRPr="00786C06">
        <w:rPr>
          <w:rFonts w:ascii="Times New Roman" w:eastAsia="Times New Roman" w:hAnsi="Times New Roman" w:cs="Times New Roman"/>
          <w:sz w:val="24"/>
          <w:szCs w:val="24"/>
          <w:lang w:val="en-US" w:eastAsia="ru-RU"/>
        </w:rPr>
        <w:t>entrepreneur</w:t>
      </w:r>
      <w:r>
        <w:rPr>
          <w:rFonts w:ascii="Times New Roman" w:eastAsia="Times New Roman" w:hAnsi="Times New Roman" w:cs="Times New Roman"/>
          <w:sz w:val="24"/>
          <w:szCs w:val="24"/>
          <w:lang w:val="en-US" w:eastAsia="ru-RU"/>
        </w:rPr>
        <w:t xml:space="preserve">ial opinions </w:t>
      </w:r>
      <w:r w:rsidRPr="00786C06">
        <w:rPr>
          <w:rFonts w:ascii="Times New Roman" w:eastAsia="Times New Roman" w:hAnsi="Times New Roman" w:cs="Times New Roman"/>
          <w:sz w:val="24"/>
          <w:szCs w:val="24"/>
          <w:lang w:val="en-US" w:eastAsia="ru-RU"/>
        </w:rPr>
        <w:t>seem, at first glance, encouraging</w:t>
      </w:r>
      <w:r w:rsidR="0069679F">
        <w:rPr>
          <w:rFonts w:ascii="Times New Roman" w:eastAsia="Times New Roman" w:hAnsi="Times New Roman" w:cs="Times New Roman"/>
          <w:sz w:val="24"/>
          <w:szCs w:val="24"/>
          <w:lang w:val="en-US" w:eastAsia="ru-RU"/>
        </w:rPr>
        <w:t>: t</w:t>
      </w:r>
      <w:r w:rsidRPr="0069679F">
        <w:rPr>
          <w:rFonts w:ascii="Times New Roman" w:eastAsia="Times New Roman" w:hAnsi="Times New Roman" w:cs="Times New Roman"/>
          <w:sz w:val="24"/>
          <w:szCs w:val="24"/>
          <w:lang w:val="en-US" w:eastAsia="ru-RU"/>
        </w:rPr>
        <w:t xml:space="preserve">his factor </w:t>
      </w:r>
      <w:proofErr w:type="gramStart"/>
      <w:r w:rsidRPr="0069679F">
        <w:rPr>
          <w:rFonts w:ascii="Times New Roman" w:eastAsia="Times New Roman" w:hAnsi="Times New Roman" w:cs="Times New Roman"/>
          <w:sz w:val="24"/>
          <w:szCs w:val="24"/>
          <w:lang w:val="en-US" w:eastAsia="ru-RU"/>
        </w:rPr>
        <w:t xml:space="preserve">is </w:t>
      </w:r>
      <w:r w:rsidR="001F19AE">
        <w:rPr>
          <w:rFonts w:ascii="Times New Roman" w:eastAsia="Times New Roman" w:hAnsi="Times New Roman" w:cs="Times New Roman"/>
          <w:sz w:val="24"/>
          <w:szCs w:val="24"/>
          <w:lang w:val="en-US" w:eastAsia="ru-RU"/>
        </w:rPr>
        <w:t xml:space="preserve">always </w:t>
      </w:r>
      <w:r w:rsidRPr="0069679F">
        <w:rPr>
          <w:rFonts w:ascii="Times New Roman" w:eastAsia="Times New Roman" w:hAnsi="Times New Roman" w:cs="Times New Roman"/>
          <w:sz w:val="24"/>
          <w:szCs w:val="24"/>
          <w:lang w:val="en-US" w:eastAsia="ru-RU"/>
        </w:rPr>
        <w:t>noted</w:t>
      </w:r>
      <w:proofErr w:type="gramEnd"/>
      <w:r w:rsidRPr="0069679F">
        <w:rPr>
          <w:rFonts w:ascii="Times New Roman" w:eastAsia="Times New Roman" w:hAnsi="Times New Roman" w:cs="Times New Roman"/>
          <w:sz w:val="24"/>
          <w:szCs w:val="24"/>
          <w:lang w:val="en-US" w:eastAsia="ru-RU"/>
        </w:rPr>
        <w:t xml:space="preserve"> </w:t>
      </w:r>
      <w:r w:rsidR="005F1494">
        <w:rPr>
          <w:rFonts w:ascii="Times New Roman" w:eastAsia="Times New Roman" w:hAnsi="Times New Roman" w:cs="Times New Roman"/>
          <w:sz w:val="24"/>
          <w:szCs w:val="24"/>
          <w:lang w:val="en-US" w:eastAsia="ru-RU"/>
        </w:rPr>
        <w:t xml:space="preserve">by </w:t>
      </w:r>
      <w:r w:rsidRPr="0069679F">
        <w:rPr>
          <w:rFonts w:ascii="Times New Roman" w:eastAsia="Times New Roman" w:hAnsi="Times New Roman" w:cs="Times New Roman"/>
          <w:sz w:val="24"/>
          <w:szCs w:val="24"/>
          <w:lang w:val="en-US" w:eastAsia="ru-RU"/>
        </w:rPr>
        <w:t>3-4% of respondents</w:t>
      </w:r>
      <w:r w:rsidR="0069679F">
        <w:rPr>
          <w:rFonts w:ascii="Times New Roman" w:eastAsia="Times New Roman" w:hAnsi="Times New Roman" w:cs="Times New Roman"/>
          <w:sz w:val="24"/>
          <w:szCs w:val="24"/>
          <w:lang w:val="en-US" w:eastAsia="ru-RU"/>
        </w:rPr>
        <w:t xml:space="preserve"> only</w:t>
      </w:r>
      <w:r w:rsidRPr="0069679F">
        <w:rPr>
          <w:rFonts w:ascii="Times New Roman" w:eastAsia="Times New Roman" w:hAnsi="Times New Roman" w:cs="Times New Roman"/>
          <w:sz w:val="24"/>
          <w:szCs w:val="24"/>
          <w:lang w:val="en-US" w:eastAsia="ru-RU"/>
        </w:rPr>
        <w:t xml:space="preserve">. However, </w:t>
      </w:r>
      <w:r w:rsidR="0069679F">
        <w:rPr>
          <w:rFonts w:ascii="Times New Roman" w:eastAsia="Times New Roman" w:hAnsi="Times New Roman" w:cs="Times New Roman"/>
          <w:sz w:val="24"/>
          <w:szCs w:val="24"/>
          <w:lang w:val="en-US" w:eastAsia="ru-RU"/>
        </w:rPr>
        <w:t xml:space="preserve">these </w:t>
      </w:r>
      <w:r w:rsidRPr="0069679F">
        <w:rPr>
          <w:rFonts w:ascii="Times New Roman" w:eastAsia="Times New Roman" w:hAnsi="Times New Roman" w:cs="Times New Roman"/>
          <w:sz w:val="24"/>
          <w:szCs w:val="24"/>
          <w:lang w:val="en-US" w:eastAsia="ru-RU"/>
        </w:rPr>
        <w:t xml:space="preserve">results </w:t>
      </w:r>
      <w:r w:rsidR="0069679F">
        <w:rPr>
          <w:rFonts w:ascii="Times New Roman" w:eastAsia="Times New Roman" w:hAnsi="Times New Roman" w:cs="Times New Roman"/>
          <w:sz w:val="24"/>
          <w:szCs w:val="24"/>
          <w:lang w:val="en-US" w:eastAsia="ru-RU"/>
        </w:rPr>
        <w:t>contradict common sens</w:t>
      </w:r>
      <w:r w:rsidRPr="0069679F">
        <w:rPr>
          <w:rFonts w:ascii="Times New Roman" w:eastAsia="Times New Roman" w:hAnsi="Times New Roman" w:cs="Times New Roman"/>
          <w:sz w:val="24"/>
          <w:szCs w:val="24"/>
          <w:lang w:val="en-US" w:eastAsia="ru-RU"/>
        </w:rPr>
        <w:t xml:space="preserve">e. </w:t>
      </w:r>
      <w:r w:rsidR="0069679F">
        <w:rPr>
          <w:rFonts w:ascii="Times New Roman" w:eastAsia="Times New Roman" w:hAnsi="Times New Roman" w:cs="Times New Roman"/>
          <w:sz w:val="24"/>
          <w:szCs w:val="24"/>
          <w:lang w:val="en-US" w:eastAsia="ru-RU"/>
        </w:rPr>
        <w:t>Possibly (and very likely)</w:t>
      </w:r>
      <w:r w:rsidRPr="0069679F">
        <w:rPr>
          <w:rFonts w:ascii="Times New Roman" w:eastAsia="Times New Roman" w:hAnsi="Times New Roman" w:cs="Times New Roman"/>
          <w:sz w:val="24"/>
          <w:szCs w:val="24"/>
          <w:lang w:val="en-US" w:eastAsia="ru-RU"/>
        </w:rPr>
        <w:t xml:space="preserve">, this phenomenon is explained by the fact that some </w:t>
      </w:r>
      <w:r w:rsidR="005F1494">
        <w:rPr>
          <w:rFonts w:ascii="Times New Roman" w:eastAsia="Times New Roman" w:hAnsi="Times New Roman" w:cs="Times New Roman"/>
          <w:sz w:val="24"/>
          <w:szCs w:val="24"/>
          <w:lang w:val="en-US" w:eastAsia="ru-RU"/>
        </w:rPr>
        <w:t xml:space="preserve">(or many) </w:t>
      </w:r>
      <w:r w:rsidRPr="0069679F">
        <w:rPr>
          <w:rFonts w:ascii="Times New Roman" w:eastAsia="Times New Roman" w:hAnsi="Times New Roman" w:cs="Times New Roman"/>
          <w:sz w:val="24"/>
          <w:szCs w:val="24"/>
          <w:lang w:val="en-US" w:eastAsia="ru-RU"/>
        </w:rPr>
        <w:t xml:space="preserve">respondents consider corruption as </w:t>
      </w:r>
      <w:r w:rsidR="005F1494">
        <w:rPr>
          <w:rFonts w:ascii="Times New Roman" w:eastAsia="Times New Roman" w:hAnsi="Times New Roman" w:cs="Times New Roman"/>
          <w:sz w:val="24"/>
          <w:szCs w:val="24"/>
          <w:lang w:val="en-US" w:eastAsia="ru-RU"/>
        </w:rPr>
        <w:t xml:space="preserve">a </w:t>
      </w:r>
      <w:r w:rsidR="001F19AE" w:rsidRPr="001F19AE">
        <w:rPr>
          <w:rFonts w:ascii="Times New Roman" w:eastAsia="Times New Roman" w:hAnsi="Times New Roman" w:cs="Times New Roman"/>
          <w:sz w:val="24"/>
          <w:szCs w:val="24"/>
          <w:lang w:val="en-US" w:eastAsia="ru-RU"/>
        </w:rPr>
        <w:t xml:space="preserve">traditional and integral part of </w:t>
      </w:r>
      <w:r w:rsidR="001F19AE">
        <w:rPr>
          <w:rFonts w:ascii="Times New Roman" w:eastAsia="Times New Roman" w:hAnsi="Times New Roman" w:cs="Times New Roman"/>
          <w:sz w:val="24"/>
          <w:szCs w:val="24"/>
          <w:lang w:val="en-US" w:eastAsia="ru-RU"/>
        </w:rPr>
        <w:t xml:space="preserve">any </w:t>
      </w:r>
      <w:r w:rsidR="001F19AE" w:rsidRPr="001F19AE">
        <w:rPr>
          <w:rFonts w:ascii="Times New Roman" w:eastAsia="Times New Roman" w:hAnsi="Times New Roman" w:cs="Times New Roman"/>
          <w:sz w:val="24"/>
          <w:szCs w:val="24"/>
          <w:lang w:val="en-US" w:eastAsia="ru-RU"/>
        </w:rPr>
        <w:t>business</w:t>
      </w:r>
      <w:r w:rsidR="000E7450">
        <w:rPr>
          <w:rFonts w:ascii="Times New Roman" w:eastAsia="Times New Roman" w:hAnsi="Times New Roman" w:cs="Times New Roman"/>
          <w:sz w:val="24"/>
          <w:szCs w:val="24"/>
          <w:lang w:val="en-US" w:eastAsia="ru-RU"/>
        </w:rPr>
        <w:t>es</w:t>
      </w:r>
      <w:r w:rsidR="005F1494">
        <w:rPr>
          <w:rFonts w:ascii="Times New Roman" w:eastAsia="Times New Roman" w:hAnsi="Times New Roman" w:cs="Times New Roman"/>
          <w:sz w:val="24"/>
          <w:szCs w:val="24"/>
          <w:lang w:val="en-US" w:eastAsia="ru-RU"/>
        </w:rPr>
        <w:t>; they</w:t>
      </w:r>
      <w:r w:rsidR="001F19AE">
        <w:rPr>
          <w:rFonts w:ascii="Times New Roman" w:eastAsia="Times New Roman" w:hAnsi="Times New Roman" w:cs="Times New Roman"/>
          <w:sz w:val="24"/>
          <w:szCs w:val="24"/>
          <w:lang w:val="en-US" w:eastAsia="ru-RU"/>
        </w:rPr>
        <w:t xml:space="preserve"> </w:t>
      </w:r>
      <w:r w:rsidRPr="0069679F">
        <w:rPr>
          <w:rFonts w:ascii="Times New Roman" w:eastAsia="Times New Roman" w:hAnsi="Times New Roman" w:cs="Times New Roman"/>
          <w:sz w:val="24"/>
          <w:szCs w:val="24"/>
          <w:lang w:val="en-US" w:eastAsia="ru-RU"/>
        </w:rPr>
        <w:t>includ</w:t>
      </w:r>
      <w:r w:rsidR="000E7450">
        <w:rPr>
          <w:rFonts w:ascii="Times New Roman" w:eastAsia="Times New Roman" w:hAnsi="Times New Roman" w:cs="Times New Roman"/>
          <w:sz w:val="24"/>
          <w:szCs w:val="24"/>
          <w:lang w:val="en-US" w:eastAsia="ru-RU"/>
        </w:rPr>
        <w:t>e</w:t>
      </w:r>
      <w:r w:rsidRPr="0069679F">
        <w:rPr>
          <w:rFonts w:ascii="Times New Roman" w:eastAsia="Times New Roman" w:hAnsi="Times New Roman" w:cs="Times New Roman"/>
          <w:sz w:val="24"/>
          <w:szCs w:val="24"/>
          <w:lang w:val="en-US" w:eastAsia="ru-RU"/>
        </w:rPr>
        <w:t xml:space="preserve"> </w:t>
      </w:r>
      <w:r w:rsidR="001F19AE">
        <w:rPr>
          <w:rFonts w:ascii="Times New Roman" w:eastAsia="Times New Roman" w:hAnsi="Times New Roman" w:cs="Times New Roman"/>
          <w:sz w:val="24"/>
          <w:szCs w:val="24"/>
          <w:lang w:val="en-US" w:eastAsia="ru-RU"/>
        </w:rPr>
        <w:t>corruption costs</w:t>
      </w:r>
      <w:r w:rsidR="0069679F">
        <w:rPr>
          <w:rFonts w:ascii="Times New Roman" w:eastAsia="Times New Roman" w:hAnsi="Times New Roman" w:cs="Times New Roman"/>
          <w:sz w:val="24"/>
          <w:szCs w:val="24"/>
          <w:lang w:val="en-US" w:eastAsia="ru-RU"/>
        </w:rPr>
        <w:t xml:space="preserve"> in </w:t>
      </w:r>
      <w:r w:rsidRPr="0069679F">
        <w:rPr>
          <w:rFonts w:ascii="Times New Roman" w:eastAsia="Times New Roman" w:hAnsi="Times New Roman" w:cs="Times New Roman"/>
          <w:sz w:val="24"/>
          <w:szCs w:val="24"/>
          <w:lang w:val="en-US" w:eastAsia="ru-RU"/>
        </w:rPr>
        <w:t>production costs and</w:t>
      </w:r>
      <w:r w:rsidR="0069679F">
        <w:rPr>
          <w:rFonts w:ascii="Times New Roman" w:eastAsia="Times New Roman" w:hAnsi="Times New Roman" w:cs="Times New Roman"/>
          <w:sz w:val="24"/>
          <w:szCs w:val="24"/>
          <w:lang w:val="en-US" w:eastAsia="ru-RU"/>
        </w:rPr>
        <w:t>, therefore,</w:t>
      </w:r>
      <w:r w:rsidRPr="0069679F">
        <w:rPr>
          <w:rFonts w:ascii="Times New Roman" w:eastAsia="Times New Roman" w:hAnsi="Times New Roman" w:cs="Times New Roman"/>
          <w:sz w:val="24"/>
          <w:szCs w:val="24"/>
          <w:lang w:val="en-US" w:eastAsia="ru-RU"/>
        </w:rPr>
        <w:t xml:space="preserve"> </w:t>
      </w:r>
      <w:r w:rsidR="000E7450">
        <w:rPr>
          <w:rFonts w:ascii="Times New Roman" w:eastAsia="Times New Roman" w:hAnsi="Times New Roman" w:cs="Times New Roman"/>
          <w:sz w:val="24"/>
          <w:szCs w:val="24"/>
          <w:lang w:val="en-US" w:eastAsia="ru-RU"/>
        </w:rPr>
        <w:t xml:space="preserve">do </w:t>
      </w:r>
      <w:r w:rsidRPr="0069679F">
        <w:rPr>
          <w:rFonts w:ascii="Times New Roman" w:eastAsia="Times New Roman" w:hAnsi="Times New Roman" w:cs="Times New Roman"/>
          <w:sz w:val="24"/>
          <w:szCs w:val="24"/>
          <w:lang w:val="en-US" w:eastAsia="ru-RU"/>
        </w:rPr>
        <w:t xml:space="preserve">not </w:t>
      </w:r>
      <w:r w:rsidR="005F1494" w:rsidRPr="005F1494">
        <w:rPr>
          <w:rFonts w:ascii="Times New Roman" w:eastAsia="Times New Roman" w:hAnsi="Times New Roman" w:cs="Times New Roman"/>
          <w:sz w:val="24"/>
          <w:szCs w:val="24"/>
          <w:lang w:val="en-US" w:eastAsia="ru-RU"/>
        </w:rPr>
        <w:t>est</w:t>
      </w:r>
      <w:r w:rsidR="005F1494">
        <w:rPr>
          <w:rFonts w:ascii="Times New Roman" w:eastAsia="Times New Roman" w:hAnsi="Times New Roman" w:cs="Times New Roman"/>
          <w:sz w:val="24"/>
          <w:szCs w:val="24"/>
          <w:lang w:val="en-US" w:eastAsia="ru-RU"/>
        </w:rPr>
        <w:t>e</w:t>
      </w:r>
      <w:r w:rsidR="005F1494" w:rsidRPr="005F1494">
        <w:rPr>
          <w:rFonts w:ascii="Times New Roman" w:eastAsia="Times New Roman" w:hAnsi="Times New Roman" w:cs="Times New Roman"/>
          <w:sz w:val="24"/>
          <w:szCs w:val="24"/>
          <w:lang w:val="en-US" w:eastAsia="ru-RU"/>
        </w:rPr>
        <w:t xml:space="preserve">em </w:t>
      </w:r>
      <w:r w:rsidR="0069679F">
        <w:rPr>
          <w:rFonts w:ascii="Times New Roman" w:eastAsia="Times New Roman" w:hAnsi="Times New Roman" w:cs="Times New Roman"/>
          <w:sz w:val="24"/>
          <w:szCs w:val="24"/>
          <w:lang w:val="en-US" w:eastAsia="ru-RU"/>
        </w:rPr>
        <w:t xml:space="preserve">them </w:t>
      </w:r>
      <w:r w:rsidRPr="0069679F">
        <w:rPr>
          <w:rFonts w:ascii="Times New Roman" w:eastAsia="Times New Roman" w:hAnsi="Times New Roman" w:cs="Times New Roman"/>
          <w:sz w:val="24"/>
          <w:szCs w:val="24"/>
          <w:lang w:val="en-US" w:eastAsia="ru-RU"/>
        </w:rPr>
        <w:t xml:space="preserve">as </w:t>
      </w:r>
      <w:r w:rsidR="001F19AE">
        <w:rPr>
          <w:rFonts w:ascii="Times New Roman" w:eastAsia="Times New Roman" w:hAnsi="Times New Roman" w:cs="Times New Roman"/>
          <w:sz w:val="24"/>
          <w:szCs w:val="24"/>
          <w:lang w:val="en-US" w:eastAsia="ru-RU"/>
        </w:rPr>
        <w:t xml:space="preserve">a </w:t>
      </w:r>
      <w:r w:rsidR="00EF5BE4">
        <w:rPr>
          <w:rFonts w:ascii="Times New Roman" w:eastAsia="Times New Roman" w:hAnsi="Times New Roman" w:cs="Times New Roman"/>
          <w:sz w:val="24"/>
          <w:szCs w:val="24"/>
          <w:lang w:val="en-US" w:eastAsia="ru-RU"/>
        </w:rPr>
        <w:t>major problem</w:t>
      </w:r>
      <w:r w:rsidR="0069679F">
        <w:rPr>
          <w:rFonts w:ascii="Times New Roman" w:eastAsia="Times New Roman" w:hAnsi="Times New Roman" w:cs="Times New Roman"/>
          <w:sz w:val="24"/>
          <w:szCs w:val="24"/>
          <w:lang w:val="en-US" w:eastAsia="ru-RU"/>
        </w:rPr>
        <w:t>.</w:t>
      </w:r>
    </w:p>
    <w:p w:rsidR="00E037E5" w:rsidRPr="000E7450" w:rsidRDefault="00E037E5" w:rsidP="008B5EC6">
      <w:pPr>
        <w:spacing w:after="0" w:line="360" w:lineRule="auto"/>
        <w:ind w:left="142" w:firstLine="709"/>
        <w:jc w:val="both"/>
        <w:rPr>
          <w:rFonts w:ascii="Times New Roman" w:eastAsia="Times New Roman" w:hAnsi="Times New Roman" w:cs="Times New Roman"/>
          <w:i/>
          <w:sz w:val="24"/>
          <w:szCs w:val="24"/>
          <w:lang w:val="en-US" w:eastAsia="ru-RU"/>
        </w:rPr>
      </w:pPr>
      <w:r w:rsidRPr="000E7450">
        <w:rPr>
          <w:rFonts w:ascii="Times New Roman" w:eastAsia="Times New Roman" w:hAnsi="Times New Roman" w:cs="Times New Roman"/>
          <w:i/>
          <w:sz w:val="24"/>
          <w:szCs w:val="24"/>
          <w:lang w:val="en-US" w:eastAsia="ru-RU"/>
        </w:rPr>
        <w:t>“</w:t>
      </w:r>
      <w:r w:rsidR="001F19AE" w:rsidRPr="000E7450">
        <w:rPr>
          <w:rFonts w:ascii="Times New Roman" w:eastAsia="Times New Roman" w:hAnsi="Times New Roman" w:cs="Times New Roman"/>
          <w:i/>
          <w:sz w:val="24"/>
          <w:szCs w:val="24"/>
          <w:lang w:val="en-US" w:eastAsia="ru-RU"/>
        </w:rPr>
        <w:t>Pawnshop</w:t>
      </w:r>
      <w:r w:rsidRPr="000E7450">
        <w:rPr>
          <w:rFonts w:ascii="Times New Roman" w:eastAsia="Times New Roman" w:hAnsi="Times New Roman" w:cs="Times New Roman"/>
          <w:i/>
          <w:sz w:val="24"/>
          <w:szCs w:val="24"/>
          <w:lang w:val="en-US" w:eastAsia="ru-RU"/>
        </w:rPr>
        <w:t xml:space="preserve"> Indicator”</w:t>
      </w:r>
    </w:p>
    <w:p w:rsidR="00E037E5" w:rsidRDefault="00E037E5" w:rsidP="00E037E5">
      <w:pPr>
        <w:spacing w:after="0" w:line="360" w:lineRule="auto"/>
        <w:ind w:firstLine="680"/>
        <w:jc w:val="both"/>
        <w:rPr>
          <w:rFonts w:ascii="Times New Roman" w:hAnsi="Times New Roman" w:cs="Times New Roman"/>
          <w:color w:val="000000"/>
          <w:sz w:val="24"/>
          <w:szCs w:val="24"/>
          <w:lang w:val="en-US"/>
        </w:rPr>
      </w:pPr>
      <w:r w:rsidRPr="007324B9">
        <w:rPr>
          <w:rFonts w:ascii="Times New Roman" w:hAnsi="Times New Roman" w:cs="Times New Roman"/>
          <w:color w:val="000000"/>
          <w:sz w:val="24"/>
          <w:szCs w:val="24"/>
          <w:lang w:val="en-US"/>
        </w:rPr>
        <w:t xml:space="preserve">According to a retrospective </w:t>
      </w:r>
      <w:r>
        <w:rPr>
          <w:rFonts w:ascii="Times New Roman" w:hAnsi="Times New Roman" w:cs="Times New Roman"/>
          <w:color w:val="000000"/>
          <w:sz w:val="24"/>
          <w:szCs w:val="24"/>
          <w:lang w:val="en-US"/>
        </w:rPr>
        <w:t>of the BTS results</w:t>
      </w:r>
      <w:r w:rsidRPr="007324B9">
        <w:rPr>
          <w:rFonts w:ascii="Times New Roman" w:hAnsi="Times New Roman" w:cs="Times New Roman"/>
          <w:color w:val="000000"/>
          <w:sz w:val="24"/>
          <w:szCs w:val="24"/>
          <w:lang w:val="en-US"/>
        </w:rPr>
        <w:t>, the dynamics of pawnshop activity is almost always in opposition to the dynamics of household incomes</w:t>
      </w:r>
      <w:r w:rsidR="001F19AE">
        <w:rPr>
          <w:rFonts w:ascii="Times New Roman" w:hAnsi="Times New Roman" w:cs="Times New Roman"/>
          <w:color w:val="000000"/>
          <w:sz w:val="24"/>
          <w:szCs w:val="24"/>
          <w:lang w:val="en-US"/>
        </w:rPr>
        <w:t xml:space="preserve"> (see Fig. 10)</w:t>
      </w:r>
      <w:r w:rsidRPr="007324B9">
        <w:rPr>
          <w:rFonts w:ascii="Times New Roman" w:hAnsi="Times New Roman" w:cs="Times New Roman"/>
          <w:color w:val="000000"/>
          <w:sz w:val="24"/>
          <w:szCs w:val="24"/>
          <w:lang w:val="en-US"/>
        </w:rPr>
        <w:t xml:space="preserve">. Therefore, we </w:t>
      </w:r>
      <w:r w:rsidR="001F19AE">
        <w:rPr>
          <w:rFonts w:ascii="Times New Roman" w:hAnsi="Times New Roman" w:cs="Times New Roman"/>
          <w:color w:val="000000"/>
          <w:sz w:val="24"/>
          <w:szCs w:val="24"/>
          <w:lang w:val="en-US"/>
        </w:rPr>
        <w:t xml:space="preserve">could </w:t>
      </w:r>
      <w:r w:rsidRPr="007324B9">
        <w:rPr>
          <w:rFonts w:ascii="Times New Roman" w:hAnsi="Times New Roman" w:cs="Times New Roman"/>
          <w:color w:val="000000"/>
          <w:sz w:val="24"/>
          <w:szCs w:val="24"/>
          <w:lang w:val="en-US"/>
        </w:rPr>
        <w:t xml:space="preserve">use the so-called </w:t>
      </w:r>
      <w:r w:rsidR="001F19AE" w:rsidRPr="001F19AE">
        <w:rPr>
          <w:rFonts w:ascii="Times New Roman" w:hAnsi="Times New Roman" w:cs="Times New Roman"/>
          <w:color w:val="000000"/>
          <w:sz w:val="24"/>
          <w:szCs w:val="24"/>
          <w:lang w:val="en-US"/>
        </w:rPr>
        <w:t>“Pawnshop Indicator”</w:t>
      </w:r>
      <w:r w:rsidRPr="007324B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actually, </w:t>
      </w:r>
      <w:r w:rsidRPr="007324B9">
        <w:rPr>
          <w:rFonts w:ascii="Times New Roman" w:hAnsi="Times New Roman" w:cs="Times New Roman"/>
          <w:color w:val="000000"/>
          <w:sz w:val="24"/>
          <w:szCs w:val="24"/>
          <w:lang w:val="en-US"/>
        </w:rPr>
        <w:t>the confidence ind</w:t>
      </w:r>
      <w:r>
        <w:rPr>
          <w:rFonts w:ascii="Times New Roman" w:hAnsi="Times New Roman" w:cs="Times New Roman"/>
          <w:color w:val="000000"/>
          <w:sz w:val="24"/>
          <w:szCs w:val="24"/>
          <w:lang w:val="en-US"/>
        </w:rPr>
        <w:t xml:space="preserve">icator </w:t>
      </w:r>
      <w:r w:rsidRPr="007324B9">
        <w:rPr>
          <w:rFonts w:ascii="Times New Roman" w:hAnsi="Times New Roman" w:cs="Times New Roman"/>
          <w:color w:val="000000"/>
          <w:sz w:val="24"/>
          <w:szCs w:val="24"/>
          <w:lang w:val="en-US"/>
        </w:rPr>
        <w:t xml:space="preserve">in this segment) as an auxiliary tool for identifying possible </w:t>
      </w:r>
      <w:r w:rsidR="001F19AE">
        <w:rPr>
          <w:rFonts w:ascii="Times New Roman" w:hAnsi="Times New Roman" w:cs="Times New Roman"/>
          <w:color w:val="000000"/>
          <w:sz w:val="24"/>
          <w:szCs w:val="24"/>
          <w:lang w:val="en-US"/>
        </w:rPr>
        <w:t>changes</w:t>
      </w:r>
      <w:r w:rsidRPr="007324B9">
        <w:rPr>
          <w:rFonts w:ascii="Times New Roman" w:hAnsi="Times New Roman" w:cs="Times New Roman"/>
          <w:color w:val="000000"/>
          <w:sz w:val="24"/>
          <w:szCs w:val="24"/>
          <w:lang w:val="en-US"/>
        </w:rPr>
        <w:t xml:space="preserve"> in the dynamics of real disposable income of </w:t>
      </w:r>
      <w:r>
        <w:rPr>
          <w:rFonts w:ascii="Times New Roman" w:hAnsi="Times New Roman" w:cs="Times New Roman"/>
          <w:color w:val="000000"/>
          <w:sz w:val="24"/>
          <w:szCs w:val="24"/>
          <w:lang w:val="en-US"/>
        </w:rPr>
        <w:t>households</w:t>
      </w:r>
      <w:r w:rsidRPr="007324B9">
        <w:rPr>
          <w:rFonts w:ascii="Times New Roman" w:hAnsi="Times New Roman" w:cs="Times New Roman"/>
          <w:color w:val="000000"/>
          <w:sz w:val="24"/>
          <w:szCs w:val="24"/>
          <w:lang w:val="en-US"/>
        </w:rPr>
        <w:t>.</w:t>
      </w:r>
    </w:p>
    <w:p w:rsidR="001F19AE" w:rsidRDefault="001F19AE" w:rsidP="001F19AE">
      <w:pPr>
        <w:keepNext/>
        <w:spacing w:after="0" w:line="36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ru-RU"/>
        </w:rPr>
        <w:lastRenderedPageBreak/>
        <w:drawing>
          <wp:inline distT="0" distB="0" distL="0" distR="0" wp14:anchorId="34F3B9A1">
            <wp:extent cx="4680000" cy="2156608"/>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156608"/>
                    </a:xfrm>
                    <a:prstGeom prst="rect">
                      <a:avLst/>
                    </a:prstGeom>
                    <a:noFill/>
                  </pic:spPr>
                </pic:pic>
              </a:graphicData>
            </a:graphic>
          </wp:inline>
        </w:drawing>
      </w:r>
    </w:p>
    <w:p w:rsidR="001F19AE" w:rsidRDefault="001F19AE" w:rsidP="00AB29ED">
      <w:pPr>
        <w:spacing w:after="240" w:line="240" w:lineRule="auto"/>
        <w:ind w:left="142"/>
        <w:jc w:val="both"/>
        <w:rPr>
          <w:rFonts w:ascii="Times New Roman" w:hAnsi="Times New Roman" w:cs="Times New Roman"/>
          <w:color w:val="000000"/>
          <w:sz w:val="24"/>
          <w:szCs w:val="24"/>
          <w:lang w:val="en-US"/>
        </w:rPr>
      </w:pPr>
      <w:r w:rsidRPr="005845B1">
        <w:rPr>
          <w:rFonts w:ascii="Times New Roman" w:eastAsia="Times New Roman" w:hAnsi="Times New Roman" w:cs="Times New Roman"/>
          <w:b/>
          <w:lang w:val="en-US" w:eastAsia="ru-RU"/>
        </w:rPr>
        <w:t xml:space="preserve">Fig. </w:t>
      </w:r>
      <w:r>
        <w:rPr>
          <w:rFonts w:ascii="Times New Roman" w:eastAsia="Times New Roman" w:hAnsi="Times New Roman" w:cs="Times New Roman"/>
          <w:b/>
          <w:lang w:val="en-US" w:eastAsia="ru-RU"/>
        </w:rPr>
        <w:t>10</w:t>
      </w:r>
      <w:r w:rsidRPr="005845B1">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w:t>
      </w:r>
      <w:r w:rsidRPr="001F19AE">
        <w:rPr>
          <w:rFonts w:ascii="Times New Roman" w:eastAsia="Times New Roman" w:hAnsi="Times New Roman" w:cs="Times New Roman"/>
          <w:b/>
          <w:lang w:val="en-US" w:eastAsia="ru-RU"/>
        </w:rPr>
        <w:t>Pawnshop Indicator</w:t>
      </w:r>
      <w:r>
        <w:rPr>
          <w:rFonts w:ascii="Times New Roman" w:eastAsia="Times New Roman" w:hAnsi="Times New Roman" w:cs="Times New Roman"/>
          <w:b/>
          <w:lang w:val="en-US" w:eastAsia="ru-RU"/>
        </w:rPr>
        <w:t xml:space="preserve">” and </w:t>
      </w:r>
      <w:r w:rsidRPr="001F19AE">
        <w:rPr>
          <w:rFonts w:ascii="Times New Roman" w:eastAsia="Times New Roman" w:hAnsi="Times New Roman" w:cs="Times New Roman"/>
          <w:b/>
          <w:lang w:val="en-US" w:eastAsia="ru-RU"/>
        </w:rPr>
        <w:t>real disposable income of households</w:t>
      </w:r>
      <w:r>
        <w:rPr>
          <w:rFonts w:ascii="Times New Roman" w:eastAsia="Times New Roman" w:hAnsi="Times New Roman" w:cs="Times New Roman"/>
          <w:b/>
          <w:lang w:val="en-US" w:eastAsia="ru-RU"/>
        </w:rPr>
        <w:t>; 2013-2017</w:t>
      </w:r>
      <w:r w:rsidRPr="005845B1">
        <w:rPr>
          <w:rFonts w:ascii="Times New Roman" w:eastAsia="Times New Roman" w:hAnsi="Times New Roman" w:cs="Times New Roman"/>
          <w:b/>
          <w:lang w:val="en-US" w:eastAsia="ru-RU"/>
        </w:rPr>
        <w:t>, %</w:t>
      </w:r>
    </w:p>
    <w:p w:rsidR="00E037E5" w:rsidRPr="00787774" w:rsidRDefault="00E037E5" w:rsidP="00E037E5">
      <w:pPr>
        <w:spacing w:after="0" w:line="360" w:lineRule="auto"/>
        <w:ind w:firstLine="680"/>
        <w:jc w:val="both"/>
        <w:rPr>
          <w:rFonts w:ascii="Times New Roman" w:hAnsi="Times New Roman" w:cs="Times New Roman"/>
          <w:color w:val="000000"/>
          <w:sz w:val="24"/>
          <w:szCs w:val="24"/>
          <w:lang w:val="en-US"/>
        </w:rPr>
      </w:pPr>
      <w:r w:rsidRPr="00787774">
        <w:rPr>
          <w:rFonts w:ascii="Times New Roman" w:hAnsi="Times New Roman" w:cs="Times New Roman"/>
          <w:color w:val="000000"/>
          <w:sz w:val="24"/>
          <w:szCs w:val="24"/>
          <w:lang w:val="en-US"/>
        </w:rPr>
        <w:t xml:space="preserve">Pawnshops </w:t>
      </w:r>
      <w:r w:rsidR="00AB29ED">
        <w:rPr>
          <w:rFonts w:ascii="Times New Roman" w:hAnsi="Times New Roman" w:cs="Times New Roman"/>
          <w:color w:val="000000"/>
          <w:sz w:val="24"/>
          <w:szCs w:val="24"/>
          <w:lang w:val="en-US"/>
        </w:rPr>
        <w:t>are</w:t>
      </w:r>
      <w:r w:rsidRPr="00787774">
        <w:rPr>
          <w:rFonts w:ascii="Times New Roman" w:hAnsi="Times New Roman" w:cs="Times New Roman"/>
          <w:color w:val="000000"/>
          <w:sz w:val="24"/>
          <w:szCs w:val="24"/>
          <w:lang w:val="en-US"/>
        </w:rPr>
        <w:t xml:space="preserve"> the main beneficiaries of the recent crisis, which became an incentive for this business d</w:t>
      </w:r>
      <w:r w:rsidR="00AB29ED">
        <w:rPr>
          <w:rFonts w:ascii="Times New Roman" w:hAnsi="Times New Roman" w:cs="Times New Roman"/>
          <w:color w:val="000000"/>
          <w:sz w:val="24"/>
          <w:szCs w:val="24"/>
          <w:lang w:val="en-US"/>
        </w:rPr>
        <w:t>evelopment. The pawnshops allow</w:t>
      </w:r>
      <w:r w:rsidRPr="00787774">
        <w:rPr>
          <w:rFonts w:ascii="Times New Roman" w:hAnsi="Times New Roman" w:cs="Times New Roman"/>
          <w:color w:val="000000"/>
          <w:sz w:val="24"/>
          <w:szCs w:val="24"/>
          <w:lang w:val="en-US"/>
        </w:rPr>
        <w:t xml:space="preserve"> the population with low income, without a credit history and sureties, to receive cash loans. Despite th</w:t>
      </w:r>
      <w:r w:rsidR="00AB29ED">
        <w:rPr>
          <w:rFonts w:ascii="Times New Roman" w:hAnsi="Times New Roman" w:cs="Times New Roman"/>
          <w:color w:val="000000"/>
          <w:sz w:val="24"/>
          <w:szCs w:val="24"/>
          <w:lang w:val="en-US"/>
        </w:rPr>
        <w:t>ese</w:t>
      </w:r>
      <w:r w:rsidRPr="00787774">
        <w:rPr>
          <w:rFonts w:ascii="Times New Roman" w:hAnsi="Times New Roman" w:cs="Times New Roman"/>
          <w:color w:val="000000"/>
          <w:sz w:val="24"/>
          <w:szCs w:val="24"/>
          <w:lang w:val="en-US"/>
        </w:rPr>
        <w:t xml:space="preserve"> loans are of short</w:t>
      </w:r>
      <w:r w:rsidR="00AB29ED">
        <w:rPr>
          <w:rFonts w:ascii="Times New Roman" w:hAnsi="Times New Roman" w:cs="Times New Roman"/>
          <w:color w:val="000000"/>
          <w:sz w:val="24"/>
          <w:szCs w:val="24"/>
          <w:lang w:val="en-US"/>
        </w:rPr>
        <w:t>-</w:t>
      </w:r>
      <w:r w:rsidRPr="00787774">
        <w:rPr>
          <w:rFonts w:ascii="Times New Roman" w:hAnsi="Times New Roman" w:cs="Times New Roman"/>
          <w:color w:val="000000"/>
          <w:sz w:val="24"/>
          <w:szCs w:val="24"/>
          <w:lang w:val="en-US"/>
        </w:rPr>
        <w:t>term and high interest, they help low-income people to get money for living</w:t>
      </w:r>
      <w:r w:rsidR="00AB29ED">
        <w:rPr>
          <w:rFonts w:ascii="Times New Roman" w:hAnsi="Times New Roman" w:cs="Times New Roman"/>
          <w:color w:val="000000"/>
          <w:sz w:val="24"/>
          <w:szCs w:val="24"/>
          <w:lang w:val="en-US"/>
        </w:rPr>
        <w:t>,</w:t>
      </w:r>
      <w:r w:rsidRPr="00787774">
        <w:rPr>
          <w:rFonts w:ascii="Times New Roman" w:hAnsi="Times New Roman" w:cs="Times New Roman"/>
          <w:color w:val="000000"/>
          <w:sz w:val="24"/>
          <w:szCs w:val="24"/>
          <w:lang w:val="en-US"/>
        </w:rPr>
        <w:t xml:space="preserve"> and small business owners to get cash for operating expenses. Pawnshops successfully me</w:t>
      </w:r>
      <w:r w:rsidR="00AB29ED">
        <w:rPr>
          <w:rFonts w:ascii="Times New Roman" w:hAnsi="Times New Roman" w:cs="Times New Roman"/>
          <w:color w:val="000000"/>
          <w:sz w:val="24"/>
          <w:szCs w:val="24"/>
          <w:lang w:val="en-US"/>
        </w:rPr>
        <w:t>e</w:t>
      </w:r>
      <w:r w:rsidRPr="00787774">
        <w:rPr>
          <w:rFonts w:ascii="Times New Roman" w:hAnsi="Times New Roman" w:cs="Times New Roman"/>
          <w:color w:val="000000"/>
          <w:sz w:val="24"/>
          <w:szCs w:val="24"/>
          <w:lang w:val="en-US"/>
        </w:rPr>
        <w:t xml:space="preserve">t these vital needs </w:t>
      </w:r>
      <w:r w:rsidR="00AB29ED">
        <w:rPr>
          <w:rFonts w:ascii="Times New Roman" w:hAnsi="Times New Roman" w:cs="Times New Roman"/>
          <w:color w:val="000000"/>
          <w:sz w:val="24"/>
          <w:szCs w:val="24"/>
          <w:lang w:val="en-US"/>
        </w:rPr>
        <w:t xml:space="preserve">during </w:t>
      </w:r>
      <w:r w:rsidRPr="00787774">
        <w:rPr>
          <w:rFonts w:ascii="Times New Roman" w:hAnsi="Times New Roman" w:cs="Times New Roman"/>
          <w:color w:val="000000"/>
          <w:sz w:val="24"/>
          <w:szCs w:val="24"/>
          <w:lang w:val="en-US"/>
        </w:rPr>
        <w:t xml:space="preserve">crisis </w:t>
      </w:r>
      <w:r w:rsidR="00AB29ED">
        <w:rPr>
          <w:rFonts w:ascii="Times New Roman" w:hAnsi="Times New Roman" w:cs="Times New Roman"/>
          <w:color w:val="000000"/>
          <w:sz w:val="24"/>
          <w:szCs w:val="24"/>
          <w:lang w:val="en-US"/>
        </w:rPr>
        <w:t>periods</w:t>
      </w:r>
      <w:r w:rsidRPr="00787774">
        <w:rPr>
          <w:rFonts w:ascii="Times New Roman" w:hAnsi="Times New Roman" w:cs="Times New Roman"/>
          <w:color w:val="000000"/>
          <w:sz w:val="24"/>
          <w:szCs w:val="24"/>
          <w:lang w:val="en-US"/>
        </w:rPr>
        <w:t xml:space="preserve">, and this kind of </w:t>
      </w:r>
      <w:r w:rsidR="00AB29ED">
        <w:rPr>
          <w:rFonts w:ascii="Times New Roman" w:hAnsi="Times New Roman" w:cs="Times New Roman"/>
          <w:color w:val="000000"/>
          <w:sz w:val="24"/>
          <w:szCs w:val="24"/>
          <w:lang w:val="en-US"/>
        </w:rPr>
        <w:t xml:space="preserve">services </w:t>
      </w:r>
      <w:r w:rsidRPr="00787774">
        <w:rPr>
          <w:rFonts w:ascii="Times New Roman" w:hAnsi="Times New Roman" w:cs="Times New Roman"/>
          <w:color w:val="000000"/>
          <w:sz w:val="24"/>
          <w:szCs w:val="24"/>
          <w:lang w:val="en-US"/>
        </w:rPr>
        <w:t>activity demonstrate</w:t>
      </w:r>
      <w:r w:rsidR="00AB29ED">
        <w:rPr>
          <w:rFonts w:ascii="Times New Roman" w:hAnsi="Times New Roman" w:cs="Times New Roman"/>
          <w:color w:val="000000"/>
          <w:sz w:val="24"/>
          <w:szCs w:val="24"/>
          <w:lang w:val="en-US"/>
        </w:rPr>
        <w:t>s</w:t>
      </w:r>
      <w:r w:rsidRPr="00787774">
        <w:rPr>
          <w:rFonts w:ascii="Times New Roman" w:hAnsi="Times New Roman" w:cs="Times New Roman"/>
          <w:color w:val="000000"/>
          <w:sz w:val="24"/>
          <w:szCs w:val="24"/>
          <w:lang w:val="en-US"/>
        </w:rPr>
        <w:t xml:space="preserve"> an impressive growth of business confidence while all other observed activities decline.</w:t>
      </w:r>
    </w:p>
    <w:p w:rsidR="008B5EC6" w:rsidRPr="0069679F" w:rsidRDefault="00E037E5" w:rsidP="008B5EC6">
      <w:pPr>
        <w:spacing w:after="0" w:line="360" w:lineRule="auto"/>
        <w:ind w:left="142" w:firstLine="709"/>
        <w:jc w:val="both"/>
        <w:rPr>
          <w:rFonts w:ascii="Times New Roman" w:eastAsia="Times New Roman" w:hAnsi="Times New Roman" w:cs="Times New Roman"/>
          <w:sz w:val="24"/>
          <w:szCs w:val="24"/>
          <w:lang w:val="en-US" w:eastAsia="ru-RU"/>
        </w:rPr>
      </w:pPr>
      <w:r w:rsidRPr="00787774">
        <w:rPr>
          <w:rFonts w:ascii="Times New Roman" w:eastAsia="Times New Roman" w:hAnsi="Times New Roman" w:cs="Times New Roman"/>
          <w:sz w:val="24"/>
          <w:szCs w:val="24"/>
          <w:lang w:val="en-US" w:eastAsia="ru-RU"/>
        </w:rPr>
        <w:t xml:space="preserve">The rapid growth in the </w:t>
      </w:r>
      <w:r>
        <w:rPr>
          <w:rFonts w:ascii="Times New Roman" w:eastAsia="Times New Roman" w:hAnsi="Times New Roman" w:cs="Times New Roman"/>
          <w:sz w:val="24"/>
          <w:szCs w:val="24"/>
          <w:lang w:val="en-US" w:eastAsia="ru-RU"/>
        </w:rPr>
        <w:t xml:space="preserve">pawnshops </w:t>
      </w:r>
      <w:r w:rsidRPr="00787774">
        <w:rPr>
          <w:rFonts w:ascii="Times New Roman" w:eastAsia="Times New Roman" w:hAnsi="Times New Roman" w:cs="Times New Roman"/>
          <w:sz w:val="24"/>
          <w:szCs w:val="24"/>
          <w:lang w:val="en-US" w:eastAsia="ru-RU"/>
        </w:rPr>
        <w:t xml:space="preserve">segment </w:t>
      </w:r>
      <w:r w:rsidR="00AB29ED">
        <w:rPr>
          <w:rFonts w:ascii="Times New Roman" w:eastAsia="Times New Roman" w:hAnsi="Times New Roman" w:cs="Times New Roman"/>
          <w:sz w:val="24"/>
          <w:szCs w:val="24"/>
          <w:lang w:val="en-US" w:eastAsia="ru-RU"/>
        </w:rPr>
        <w:t xml:space="preserve">over the period since the last quarter of 2014 to the middle of 2016 </w:t>
      </w:r>
      <w:r w:rsidRPr="00787774">
        <w:rPr>
          <w:rFonts w:ascii="Times New Roman" w:eastAsia="Times New Roman" w:hAnsi="Times New Roman" w:cs="Times New Roman"/>
          <w:sz w:val="24"/>
          <w:szCs w:val="24"/>
          <w:lang w:val="en-US" w:eastAsia="ru-RU"/>
        </w:rPr>
        <w:t xml:space="preserve">was replaced by </w:t>
      </w:r>
      <w:r>
        <w:rPr>
          <w:rFonts w:ascii="Times New Roman" w:eastAsia="Times New Roman" w:hAnsi="Times New Roman" w:cs="Times New Roman"/>
          <w:sz w:val="24"/>
          <w:szCs w:val="24"/>
          <w:lang w:val="en-US" w:eastAsia="ru-RU"/>
        </w:rPr>
        <w:t xml:space="preserve">decline </w:t>
      </w:r>
      <w:r w:rsidRPr="00787774">
        <w:rPr>
          <w:rFonts w:ascii="Times New Roman" w:eastAsia="Times New Roman" w:hAnsi="Times New Roman" w:cs="Times New Roman"/>
          <w:sz w:val="24"/>
          <w:szCs w:val="24"/>
          <w:lang w:val="en-US" w:eastAsia="ru-RU"/>
        </w:rPr>
        <w:t>in 2016</w:t>
      </w:r>
      <w:r w:rsidR="00AB29E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2017</w:t>
      </w:r>
      <w:r w:rsidRPr="0078777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It</w:t>
      </w:r>
      <w:r w:rsidRPr="00787774">
        <w:rPr>
          <w:rFonts w:ascii="Times New Roman" w:eastAsia="Times New Roman" w:hAnsi="Times New Roman" w:cs="Times New Roman"/>
          <w:sz w:val="24"/>
          <w:szCs w:val="24"/>
          <w:lang w:val="en-US" w:eastAsia="ru-RU"/>
        </w:rPr>
        <w:t xml:space="preserve"> suggests that the</w:t>
      </w:r>
      <w:r w:rsidR="00EF5BE4" w:rsidRPr="00EF5BE4">
        <w:rPr>
          <w:rFonts w:ascii="Times New Roman" w:eastAsia="Times New Roman" w:hAnsi="Times New Roman" w:cs="Times New Roman"/>
          <w:sz w:val="24"/>
          <w:szCs w:val="24"/>
          <w:lang w:val="en-US" w:eastAsia="ru-RU"/>
        </w:rPr>
        <w:t xml:space="preserve"> </w:t>
      </w:r>
      <w:r w:rsidR="00EF5BE4" w:rsidRPr="00787774">
        <w:rPr>
          <w:rFonts w:ascii="Times New Roman" w:eastAsia="Times New Roman" w:hAnsi="Times New Roman" w:cs="Times New Roman"/>
          <w:sz w:val="24"/>
          <w:szCs w:val="24"/>
          <w:lang w:val="en-US" w:eastAsia="ru-RU"/>
        </w:rPr>
        <w:t xml:space="preserve">households’ </w:t>
      </w:r>
      <w:r w:rsidRPr="00787774">
        <w:rPr>
          <w:rFonts w:ascii="Times New Roman" w:eastAsia="Times New Roman" w:hAnsi="Times New Roman" w:cs="Times New Roman"/>
          <w:sz w:val="24"/>
          <w:szCs w:val="24"/>
          <w:lang w:val="en-US" w:eastAsia="ru-RU"/>
        </w:rPr>
        <w:t>financial situation is gradually improving</w:t>
      </w:r>
      <w:r w:rsidR="00EF5BE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and this assumption </w:t>
      </w:r>
      <w:proofErr w:type="gramStart"/>
      <w:r>
        <w:rPr>
          <w:rFonts w:ascii="Times New Roman" w:eastAsia="Times New Roman" w:hAnsi="Times New Roman" w:cs="Times New Roman"/>
          <w:sz w:val="24"/>
          <w:szCs w:val="24"/>
          <w:lang w:val="en-US" w:eastAsia="ru-RU"/>
        </w:rPr>
        <w:t xml:space="preserve">is </w:t>
      </w:r>
      <w:r w:rsidRPr="00787774">
        <w:rPr>
          <w:rFonts w:ascii="Times New Roman" w:eastAsia="Times New Roman" w:hAnsi="Times New Roman" w:cs="Times New Roman"/>
          <w:sz w:val="24"/>
          <w:szCs w:val="24"/>
          <w:lang w:val="en-US" w:eastAsia="ru-RU"/>
        </w:rPr>
        <w:t>confirmed</w:t>
      </w:r>
      <w:proofErr w:type="gramEnd"/>
      <w:r w:rsidRPr="00787774">
        <w:rPr>
          <w:rFonts w:ascii="Times New Roman" w:eastAsia="Times New Roman" w:hAnsi="Times New Roman" w:cs="Times New Roman"/>
          <w:sz w:val="24"/>
          <w:szCs w:val="24"/>
          <w:lang w:val="en-US" w:eastAsia="ru-RU"/>
        </w:rPr>
        <w:t xml:space="preserve"> by </w:t>
      </w:r>
      <w:r>
        <w:rPr>
          <w:rFonts w:ascii="Times New Roman" w:eastAsia="Times New Roman" w:hAnsi="Times New Roman" w:cs="Times New Roman"/>
          <w:sz w:val="24"/>
          <w:szCs w:val="24"/>
          <w:lang w:val="en-US" w:eastAsia="ru-RU"/>
        </w:rPr>
        <w:t>statistic</w:t>
      </w:r>
      <w:r w:rsidR="00AB29ED">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w:t>
      </w:r>
      <w:r w:rsidRPr="00787774">
        <w:rPr>
          <w:rFonts w:ascii="Times New Roman" w:eastAsia="Times New Roman" w:hAnsi="Times New Roman" w:cs="Times New Roman"/>
          <w:sz w:val="24"/>
          <w:szCs w:val="24"/>
          <w:lang w:val="en-US" w:eastAsia="ru-RU"/>
        </w:rPr>
        <w:t>on the real wages</w:t>
      </w:r>
      <w:r>
        <w:rPr>
          <w:rFonts w:ascii="Times New Roman" w:eastAsia="Times New Roman" w:hAnsi="Times New Roman" w:cs="Times New Roman"/>
          <w:sz w:val="24"/>
          <w:szCs w:val="24"/>
          <w:lang w:val="en-US" w:eastAsia="ru-RU"/>
        </w:rPr>
        <w:t xml:space="preserve"> </w:t>
      </w:r>
      <w:r w:rsidR="00AB29ED" w:rsidRPr="00AB29ED">
        <w:rPr>
          <w:rFonts w:ascii="Times New Roman" w:eastAsia="Times New Roman" w:hAnsi="Times New Roman" w:cs="Times New Roman"/>
          <w:sz w:val="24"/>
          <w:szCs w:val="24"/>
          <w:lang w:val="en-US" w:eastAsia="ru-RU"/>
        </w:rPr>
        <w:t xml:space="preserve">growth </w:t>
      </w:r>
      <w:r>
        <w:rPr>
          <w:rFonts w:ascii="Times New Roman" w:eastAsia="Times New Roman" w:hAnsi="Times New Roman" w:cs="Times New Roman"/>
          <w:sz w:val="24"/>
          <w:szCs w:val="24"/>
          <w:lang w:val="en-US" w:eastAsia="ru-RU"/>
        </w:rPr>
        <w:t xml:space="preserve">in </w:t>
      </w:r>
      <w:r w:rsidRPr="00AB29ED">
        <w:rPr>
          <w:rFonts w:ascii="Times New Roman" w:eastAsia="Times New Roman" w:hAnsi="Times New Roman" w:cs="Times New Roman"/>
          <w:sz w:val="24"/>
          <w:szCs w:val="24"/>
          <w:lang w:val="en-US" w:eastAsia="ru-RU"/>
        </w:rPr>
        <w:t>2017.</w:t>
      </w:r>
      <w:r w:rsidRPr="00787774">
        <w:rPr>
          <w:rFonts w:ascii="Times New Roman" w:eastAsia="Times New Roman" w:hAnsi="Times New Roman" w:cs="Times New Roman"/>
          <w:sz w:val="24"/>
          <w:szCs w:val="24"/>
          <w:lang w:val="en-US" w:eastAsia="ru-RU"/>
        </w:rPr>
        <w:t xml:space="preserve"> However, </w:t>
      </w:r>
      <w:r w:rsidRPr="00704D25">
        <w:rPr>
          <w:rFonts w:ascii="Times New Roman" w:eastAsia="Times New Roman" w:hAnsi="Times New Roman" w:cs="Times New Roman"/>
          <w:sz w:val="24"/>
          <w:szCs w:val="24"/>
          <w:lang w:val="en-US" w:eastAsia="ru-RU"/>
        </w:rPr>
        <w:t xml:space="preserve">taking into account that </w:t>
      </w:r>
      <w:r w:rsidR="00AB29ED">
        <w:rPr>
          <w:rFonts w:ascii="Times New Roman" w:eastAsia="Times New Roman" w:hAnsi="Times New Roman" w:cs="Times New Roman"/>
          <w:sz w:val="24"/>
          <w:szCs w:val="24"/>
          <w:lang w:val="en-US" w:eastAsia="ru-RU"/>
        </w:rPr>
        <w:t xml:space="preserve">real </w:t>
      </w:r>
      <w:r w:rsidRPr="00704D25">
        <w:rPr>
          <w:rFonts w:ascii="Times New Roman" w:eastAsia="Times New Roman" w:hAnsi="Times New Roman" w:cs="Times New Roman"/>
          <w:sz w:val="24"/>
          <w:szCs w:val="24"/>
          <w:lang w:val="en-US" w:eastAsia="ru-RU"/>
        </w:rPr>
        <w:t>incomes continue to decline</w:t>
      </w:r>
      <w:r w:rsidR="000E7450">
        <w:rPr>
          <w:rFonts w:ascii="Times New Roman" w:eastAsia="Times New Roman" w:hAnsi="Times New Roman" w:cs="Times New Roman"/>
          <w:sz w:val="24"/>
          <w:szCs w:val="24"/>
          <w:lang w:val="en-US" w:eastAsia="ru-RU"/>
        </w:rPr>
        <w:t>, the “</w:t>
      </w:r>
      <w:r>
        <w:rPr>
          <w:rFonts w:ascii="Times New Roman" w:eastAsia="Times New Roman" w:hAnsi="Times New Roman" w:cs="Times New Roman"/>
          <w:sz w:val="24"/>
          <w:szCs w:val="24"/>
          <w:lang w:val="en-US" w:eastAsia="ru-RU"/>
        </w:rPr>
        <w:t xml:space="preserve">Pawnshops </w:t>
      </w:r>
      <w:r w:rsidRPr="00787774">
        <w:rPr>
          <w:rFonts w:ascii="Times New Roman" w:eastAsia="Times New Roman" w:hAnsi="Times New Roman" w:cs="Times New Roman"/>
          <w:sz w:val="24"/>
          <w:szCs w:val="24"/>
          <w:lang w:val="en-US" w:eastAsia="ru-RU"/>
        </w:rPr>
        <w:t>Ind</w:t>
      </w:r>
      <w:r>
        <w:rPr>
          <w:rFonts w:ascii="Times New Roman" w:eastAsia="Times New Roman" w:hAnsi="Times New Roman" w:cs="Times New Roman"/>
          <w:sz w:val="24"/>
          <w:szCs w:val="24"/>
          <w:lang w:val="en-US" w:eastAsia="ru-RU"/>
        </w:rPr>
        <w:t>icators</w:t>
      </w:r>
      <w:r w:rsidR="000E7450">
        <w:rPr>
          <w:rFonts w:ascii="Times New Roman" w:eastAsia="Times New Roman" w:hAnsi="Times New Roman" w:cs="Times New Roman"/>
          <w:sz w:val="24"/>
          <w:szCs w:val="24"/>
          <w:lang w:val="en-US" w:eastAsia="ru-RU"/>
        </w:rPr>
        <w:t>”</w:t>
      </w:r>
      <w:r w:rsidRPr="00787774">
        <w:rPr>
          <w:rFonts w:ascii="Times New Roman" w:eastAsia="Times New Roman" w:hAnsi="Times New Roman" w:cs="Times New Roman"/>
          <w:sz w:val="24"/>
          <w:szCs w:val="24"/>
          <w:lang w:val="en-US" w:eastAsia="ru-RU"/>
        </w:rPr>
        <w:t xml:space="preserve"> </w:t>
      </w:r>
      <w:r w:rsidRPr="00704D25">
        <w:rPr>
          <w:rFonts w:ascii="Times New Roman" w:eastAsia="Times New Roman" w:hAnsi="Times New Roman" w:cs="Times New Roman"/>
          <w:sz w:val="24"/>
          <w:szCs w:val="24"/>
          <w:lang w:val="en-US" w:eastAsia="ru-RU"/>
        </w:rPr>
        <w:t>dynamics</w:t>
      </w:r>
      <w:r w:rsidRPr="00704D25">
        <w:rPr>
          <w:lang w:val="en-US"/>
        </w:rPr>
        <w:t xml:space="preserve"> </w:t>
      </w:r>
      <w:r w:rsidR="008B5EC6">
        <w:rPr>
          <w:rFonts w:ascii="Times New Roman" w:eastAsia="Times New Roman" w:hAnsi="Times New Roman" w:cs="Times New Roman"/>
          <w:sz w:val="24"/>
          <w:szCs w:val="24"/>
          <w:lang w:val="en-US" w:eastAsia="ru-RU"/>
        </w:rPr>
        <w:t>likely</w:t>
      </w:r>
      <w:r>
        <w:rPr>
          <w:rFonts w:ascii="Times New Roman" w:eastAsia="Times New Roman" w:hAnsi="Times New Roman" w:cs="Times New Roman"/>
          <w:sz w:val="24"/>
          <w:szCs w:val="24"/>
          <w:lang w:val="en-US" w:eastAsia="ru-RU"/>
        </w:rPr>
        <w:t xml:space="preserve"> </w:t>
      </w:r>
      <w:r w:rsidRPr="00787774">
        <w:rPr>
          <w:rFonts w:ascii="Times New Roman" w:eastAsia="Times New Roman" w:hAnsi="Times New Roman" w:cs="Times New Roman"/>
          <w:sz w:val="24"/>
          <w:szCs w:val="24"/>
          <w:lang w:val="en-US" w:eastAsia="ru-RU"/>
        </w:rPr>
        <w:t xml:space="preserve">indicates </w:t>
      </w:r>
      <w:r w:rsidR="00EF5BE4">
        <w:rPr>
          <w:rFonts w:ascii="Times New Roman" w:eastAsia="Times New Roman" w:hAnsi="Times New Roman" w:cs="Times New Roman"/>
          <w:sz w:val="24"/>
          <w:szCs w:val="24"/>
          <w:lang w:val="en-US" w:eastAsia="ru-RU"/>
        </w:rPr>
        <w:t xml:space="preserve">also </w:t>
      </w:r>
      <w:r w:rsidRPr="00787774">
        <w:rPr>
          <w:rFonts w:ascii="Times New Roman" w:eastAsia="Times New Roman" w:hAnsi="Times New Roman" w:cs="Times New Roman"/>
          <w:sz w:val="24"/>
          <w:szCs w:val="24"/>
          <w:lang w:val="en-US" w:eastAsia="ru-RU"/>
        </w:rPr>
        <w:t xml:space="preserve">that the </w:t>
      </w:r>
      <w:r>
        <w:rPr>
          <w:rFonts w:ascii="Times New Roman" w:eastAsia="Times New Roman" w:hAnsi="Times New Roman" w:cs="Times New Roman"/>
          <w:sz w:val="24"/>
          <w:szCs w:val="24"/>
          <w:lang w:val="en-US" w:eastAsia="ru-RU"/>
        </w:rPr>
        <w:t xml:space="preserve">vast part </w:t>
      </w:r>
      <w:r w:rsidRPr="00787774">
        <w:rPr>
          <w:rFonts w:ascii="Times New Roman" w:eastAsia="Times New Roman" w:hAnsi="Times New Roman" w:cs="Times New Roman"/>
          <w:sz w:val="24"/>
          <w:szCs w:val="24"/>
          <w:lang w:val="en-US" w:eastAsia="ru-RU"/>
        </w:rPr>
        <w:t xml:space="preserve">of the </w:t>
      </w:r>
      <w:r>
        <w:rPr>
          <w:rFonts w:ascii="Times New Roman" w:eastAsia="Times New Roman" w:hAnsi="Times New Roman" w:cs="Times New Roman"/>
          <w:sz w:val="24"/>
          <w:szCs w:val="24"/>
          <w:lang w:val="en-US" w:eastAsia="ru-RU"/>
        </w:rPr>
        <w:t xml:space="preserve">Russian </w:t>
      </w:r>
      <w:r w:rsidRPr="00787774">
        <w:rPr>
          <w:rFonts w:ascii="Times New Roman" w:eastAsia="Times New Roman" w:hAnsi="Times New Roman" w:cs="Times New Roman"/>
          <w:sz w:val="24"/>
          <w:szCs w:val="24"/>
          <w:lang w:val="en-US" w:eastAsia="ru-RU"/>
        </w:rPr>
        <w:t xml:space="preserve">population </w:t>
      </w:r>
      <w:r w:rsidR="000E7450">
        <w:rPr>
          <w:rFonts w:ascii="Times New Roman" w:eastAsia="Times New Roman" w:hAnsi="Times New Roman" w:cs="Times New Roman"/>
          <w:sz w:val="24"/>
          <w:szCs w:val="24"/>
          <w:lang w:val="en-US" w:eastAsia="ru-RU"/>
        </w:rPr>
        <w:t xml:space="preserve">has </w:t>
      </w:r>
      <w:r>
        <w:rPr>
          <w:rFonts w:ascii="Times New Roman" w:eastAsia="Times New Roman" w:hAnsi="Times New Roman" w:cs="Times New Roman"/>
          <w:sz w:val="24"/>
          <w:szCs w:val="24"/>
          <w:lang w:val="en-US" w:eastAsia="ru-RU"/>
        </w:rPr>
        <w:t xml:space="preserve">adjusted </w:t>
      </w:r>
      <w:r w:rsidR="008B5EC6">
        <w:rPr>
          <w:rFonts w:ascii="Times New Roman" w:eastAsia="Times New Roman" w:hAnsi="Times New Roman" w:cs="Times New Roman"/>
          <w:sz w:val="24"/>
          <w:szCs w:val="24"/>
          <w:lang w:val="en-US" w:eastAsia="ru-RU"/>
        </w:rPr>
        <w:t>the</w:t>
      </w:r>
      <w:r w:rsidRPr="00787774">
        <w:rPr>
          <w:rFonts w:ascii="Times New Roman" w:eastAsia="Times New Roman" w:hAnsi="Times New Roman" w:cs="Times New Roman"/>
          <w:sz w:val="24"/>
          <w:szCs w:val="24"/>
          <w:lang w:val="en-US" w:eastAsia="ru-RU"/>
        </w:rPr>
        <w:t xml:space="preserve"> consumer basket </w:t>
      </w:r>
      <w:r>
        <w:rPr>
          <w:rFonts w:ascii="Times New Roman" w:eastAsia="Times New Roman" w:hAnsi="Times New Roman" w:cs="Times New Roman"/>
          <w:sz w:val="24"/>
          <w:szCs w:val="24"/>
          <w:lang w:val="en-US" w:eastAsia="ru-RU"/>
        </w:rPr>
        <w:t xml:space="preserve">at </w:t>
      </w:r>
      <w:r w:rsidRPr="00787774">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val="en-US" w:eastAsia="ru-RU"/>
        </w:rPr>
        <w:t>lower</w:t>
      </w:r>
      <w:r w:rsidRPr="00787774">
        <w:rPr>
          <w:rFonts w:ascii="Times New Roman" w:eastAsia="Times New Roman" w:hAnsi="Times New Roman" w:cs="Times New Roman"/>
          <w:sz w:val="24"/>
          <w:szCs w:val="24"/>
          <w:lang w:val="en-US" w:eastAsia="ru-RU"/>
        </w:rPr>
        <w:t xml:space="preserve"> </w:t>
      </w:r>
      <w:r w:rsidR="00EF5BE4" w:rsidRPr="00787774">
        <w:rPr>
          <w:rFonts w:ascii="Times New Roman" w:eastAsia="Times New Roman" w:hAnsi="Times New Roman" w:cs="Times New Roman"/>
          <w:sz w:val="24"/>
          <w:szCs w:val="24"/>
          <w:lang w:val="en-US" w:eastAsia="ru-RU"/>
        </w:rPr>
        <w:t xml:space="preserve">income </w:t>
      </w:r>
      <w:r w:rsidRPr="00787774">
        <w:rPr>
          <w:rFonts w:ascii="Times New Roman" w:eastAsia="Times New Roman" w:hAnsi="Times New Roman" w:cs="Times New Roman"/>
          <w:sz w:val="24"/>
          <w:szCs w:val="24"/>
          <w:lang w:val="en-US" w:eastAsia="ru-RU"/>
        </w:rPr>
        <w:t xml:space="preserve">level and </w:t>
      </w:r>
      <w:r w:rsidR="008B5EC6" w:rsidRPr="008B5EC6">
        <w:rPr>
          <w:rFonts w:ascii="Times New Roman" w:eastAsia="Times New Roman" w:hAnsi="Times New Roman" w:cs="Times New Roman"/>
          <w:sz w:val="24"/>
          <w:szCs w:val="24"/>
          <w:lang w:val="en-US" w:eastAsia="ru-RU"/>
        </w:rPr>
        <w:t>learned how to survive without pawnshop loans.</w:t>
      </w:r>
    </w:p>
    <w:p w:rsidR="008B5EC6" w:rsidRPr="000E7450" w:rsidRDefault="008B5EC6" w:rsidP="000E7450">
      <w:pPr>
        <w:spacing w:after="0" w:line="240" w:lineRule="auto"/>
        <w:ind w:left="142" w:firstLine="709"/>
        <w:jc w:val="both"/>
        <w:rPr>
          <w:rFonts w:ascii="Times New Roman" w:eastAsia="Times New Roman" w:hAnsi="Times New Roman" w:cs="Times New Roman"/>
          <w:i/>
          <w:sz w:val="24"/>
          <w:szCs w:val="24"/>
          <w:lang w:val="en-US" w:eastAsia="ru-RU"/>
        </w:rPr>
      </w:pPr>
      <w:r w:rsidRPr="000E7450">
        <w:rPr>
          <w:rFonts w:ascii="Times New Roman" w:eastAsia="Times New Roman" w:hAnsi="Times New Roman" w:cs="Times New Roman"/>
          <w:i/>
          <w:sz w:val="24"/>
          <w:szCs w:val="24"/>
          <w:lang w:val="en-US" w:eastAsia="ru-RU"/>
        </w:rPr>
        <w:t>Business Climate Indicator in services,</w:t>
      </w:r>
      <w:r w:rsidR="000E7450">
        <w:rPr>
          <w:rFonts w:ascii="Times New Roman" w:eastAsia="Times New Roman" w:hAnsi="Times New Roman" w:cs="Times New Roman"/>
          <w:i/>
          <w:sz w:val="24"/>
          <w:szCs w:val="24"/>
          <w:lang w:val="en-US" w:eastAsia="ru-RU"/>
        </w:rPr>
        <w:t xml:space="preserve"> </w:t>
      </w:r>
      <w:r w:rsidRPr="000E7450">
        <w:rPr>
          <w:rFonts w:ascii="Times New Roman" w:eastAsia="Times New Roman" w:hAnsi="Times New Roman" w:cs="Times New Roman"/>
          <w:i/>
          <w:sz w:val="24"/>
          <w:szCs w:val="24"/>
          <w:lang w:val="en-US" w:eastAsia="ru-RU"/>
        </w:rPr>
        <w:t>its correlation with the services GVA and GDP</w:t>
      </w:r>
    </w:p>
    <w:p w:rsidR="008B5EC6" w:rsidRDefault="008B5EC6" w:rsidP="008B5EC6">
      <w:pPr>
        <w:spacing w:after="0" w:line="360" w:lineRule="auto"/>
        <w:ind w:lef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p w:rsidR="008B5EC6" w:rsidRPr="00A46C4E" w:rsidRDefault="008B5EC6" w:rsidP="008B5EC6">
      <w:pPr>
        <w:keepNext/>
        <w:spacing w:before="240" w:after="12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rsidR="0013747C" w:rsidRDefault="0013747C" w:rsidP="00510C6E">
      <w:pPr>
        <w:spacing w:after="0" w:line="360" w:lineRule="auto"/>
        <w:ind w:left="142" w:firstLine="709"/>
        <w:jc w:val="both"/>
        <w:rPr>
          <w:rFonts w:ascii="Times New Roman" w:eastAsia="Times New Roman" w:hAnsi="Times New Roman" w:cs="Times New Roman"/>
          <w:sz w:val="24"/>
          <w:szCs w:val="24"/>
          <w:lang w:val="en-US" w:eastAsia="ru-RU"/>
        </w:rPr>
      </w:pPr>
      <w:r w:rsidRPr="0013747C">
        <w:rPr>
          <w:rFonts w:ascii="Times New Roman" w:eastAsia="Times New Roman" w:hAnsi="Times New Roman" w:cs="Times New Roman"/>
          <w:sz w:val="24"/>
          <w:szCs w:val="24"/>
          <w:lang w:val="en-US" w:eastAsia="ru-RU"/>
        </w:rPr>
        <w:t xml:space="preserve">The services BTS results provide reliable information on </w:t>
      </w:r>
      <w:r>
        <w:rPr>
          <w:rFonts w:ascii="Times New Roman" w:eastAsia="Times New Roman" w:hAnsi="Times New Roman" w:cs="Times New Roman"/>
          <w:sz w:val="24"/>
          <w:szCs w:val="24"/>
          <w:lang w:val="en-US" w:eastAsia="ru-RU"/>
        </w:rPr>
        <w:t xml:space="preserve">the </w:t>
      </w:r>
      <w:r w:rsidRPr="0013747C">
        <w:rPr>
          <w:rFonts w:ascii="Times New Roman" w:eastAsia="Times New Roman" w:hAnsi="Times New Roman" w:cs="Times New Roman"/>
          <w:sz w:val="24"/>
          <w:szCs w:val="24"/>
          <w:lang w:val="en-US" w:eastAsia="ru-RU"/>
        </w:rPr>
        <w:t xml:space="preserve">economic sentiment </w:t>
      </w:r>
      <w:r>
        <w:rPr>
          <w:rFonts w:ascii="Times New Roman" w:eastAsia="Times New Roman" w:hAnsi="Times New Roman" w:cs="Times New Roman"/>
          <w:sz w:val="24"/>
          <w:szCs w:val="24"/>
          <w:lang w:val="en-US" w:eastAsia="ru-RU"/>
        </w:rPr>
        <w:t xml:space="preserve">and business climate that is essential </w:t>
      </w:r>
      <w:r w:rsidRPr="0013747C">
        <w:rPr>
          <w:rFonts w:ascii="Times New Roman" w:eastAsia="Times New Roman" w:hAnsi="Times New Roman" w:cs="Times New Roman"/>
          <w:sz w:val="24"/>
          <w:szCs w:val="24"/>
          <w:lang w:val="en-US" w:eastAsia="ru-RU"/>
        </w:rPr>
        <w:t>to measure recession</w:t>
      </w:r>
      <w:r>
        <w:rPr>
          <w:rFonts w:ascii="Times New Roman" w:eastAsia="Times New Roman" w:hAnsi="Times New Roman" w:cs="Times New Roman"/>
          <w:sz w:val="24"/>
          <w:szCs w:val="24"/>
          <w:lang w:val="en-US" w:eastAsia="ru-RU"/>
        </w:rPr>
        <w:t xml:space="preserve"> and recovery </w:t>
      </w:r>
      <w:r w:rsidRPr="0013747C">
        <w:rPr>
          <w:rFonts w:ascii="Times New Roman" w:eastAsia="Times New Roman" w:hAnsi="Times New Roman" w:cs="Times New Roman"/>
          <w:sz w:val="24"/>
          <w:szCs w:val="24"/>
          <w:lang w:val="en-US" w:eastAsia="ru-RU"/>
        </w:rPr>
        <w:t xml:space="preserve">development </w:t>
      </w:r>
      <w:r>
        <w:rPr>
          <w:rFonts w:ascii="Times New Roman" w:eastAsia="Times New Roman" w:hAnsi="Times New Roman" w:cs="Times New Roman"/>
          <w:sz w:val="24"/>
          <w:szCs w:val="24"/>
          <w:lang w:val="en-US" w:eastAsia="ru-RU"/>
        </w:rPr>
        <w:t>of the sector</w:t>
      </w:r>
      <w:r w:rsidRPr="0013747C">
        <w:rPr>
          <w:rFonts w:ascii="Times New Roman" w:eastAsia="Times New Roman" w:hAnsi="Times New Roman" w:cs="Times New Roman"/>
          <w:sz w:val="24"/>
          <w:szCs w:val="24"/>
          <w:lang w:val="en-US" w:eastAsia="ru-RU"/>
        </w:rPr>
        <w:t>.</w:t>
      </w:r>
    </w:p>
    <w:p w:rsidR="005567A0" w:rsidRDefault="0013747C" w:rsidP="00510C6E">
      <w:pPr>
        <w:spacing w:after="0" w:line="360" w:lineRule="auto"/>
        <w:ind w:lef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Since 2013, t</w:t>
      </w:r>
      <w:r w:rsidR="005567A0" w:rsidRPr="00976909">
        <w:rPr>
          <w:rFonts w:ascii="Times New Roman" w:eastAsia="Times New Roman" w:hAnsi="Times New Roman" w:cs="Times New Roman"/>
          <w:sz w:val="24"/>
          <w:szCs w:val="24"/>
          <w:lang w:val="en-US" w:eastAsia="ru-RU"/>
        </w:rPr>
        <w:t>he survey’s result</w:t>
      </w:r>
      <w:r w:rsidR="005567A0">
        <w:rPr>
          <w:rFonts w:ascii="Times New Roman" w:eastAsia="Times New Roman" w:hAnsi="Times New Roman" w:cs="Times New Roman"/>
          <w:sz w:val="24"/>
          <w:szCs w:val="24"/>
          <w:lang w:val="en-US" w:eastAsia="ru-RU"/>
        </w:rPr>
        <w:t>s demonstrate a stable five-year trend of</w:t>
      </w:r>
      <w:r w:rsidR="005567A0" w:rsidRPr="00976909">
        <w:rPr>
          <w:rFonts w:ascii="Times New Roman" w:eastAsia="Times New Roman" w:hAnsi="Times New Roman" w:cs="Times New Roman"/>
          <w:sz w:val="24"/>
          <w:szCs w:val="24"/>
          <w:lang w:val="en-US" w:eastAsia="ru-RU"/>
        </w:rPr>
        <w:t xml:space="preserve"> "pessimism</w:t>
      </w:r>
      <w:r w:rsidR="005567A0" w:rsidRPr="00A46C4E">
        <w:rPr>
          <w:lang w:val="en-US"/>
        </w:rPr>
        <w:t xml:space="preserve"> </w:t>
      </w:r>
      <w:r w:rsidR="005567A0" w:rsidRPr="00A46C4E">
        <w:rPr>
          <w:rFonts w:ascii="Times New Roman" w:eastAsia="Times New Roman" w:hAnsi="Times New Roman" w:cs="Times New Roman"/>
          <w:sz w:val="24"/>
          <w:szCs w:val="24"/>
          <w:lang w:val="en-US" w:eastAsia="ru-RU"/>
        </w:rPr>
        <w:t>accumulation</w:t>
      </w:r>
      <w:r w:rsidR="005567A0" w:rsidRPr="00976909">
        <w:rPr>
          <w:rFonts w:ascii="Times New Roman" w:eastAsia="Times New Roman" w:hAnsi="Times New Roman" w:cs="Times New Roman"/>
          <w:sz w:val="24"/>
          <w:szCs w:val="24"/>
          <w:lang w:val="en-US" w:eastAsia="ru-RU"/>
        </w:rPr>
        <w:t xml:space="preserve">" </w:t>
      </w:r>
      <w:r w:rsidR="005567A0">
        <w:rPr>
          <w:rFonts w:ascii="Times New Roman" w:eastAsia="Times New Roman" w:hAnsi="Times New Roman" w:cs="Times New Roman"/>
          <w:sz w:val="24"/>
          <w:szCs w:val="24"/>
          <w:lang w:val="en-US" w:eastAsia="ru-RU"/>
        </w:rPr>
        <w:t xml:space="preserve">in </w:t>
      </w:r>
      <w:r w:rsidR="005567A0" w:rsidRPr="00976909">
        <w:rPr>
          <w:rFonts w:ascii="Times New Roman" w:eastAsia="Times New Roman" w:hAnsi="Times New Roman" w:cs="Times New Roman"/>
          <w:sz w:val="24"/>
          <w:szCs w:val="24"/>
          <w:lang w:val="en-US" w:eastAsia="ru-RU"/>
        </w:rPr>
        <w:t xml:space="preserve">the main indicators </w:t>
      </w:r>
      <w:r w:rsidR="005567A0" w:rsidRPr="00A46C4E">
        <w:rPr>
          <w:rFonts w:ascii="Times New Roman" w:eastAsia="Times New Roman" w:hAnsi="Times New Roman" w:cs="Times New Roman"/>
          <w:sz w:val="24"/>
          <w:szCs w:val="24"/>
          <w:lang w:val="en-US" w:eastAsia="ru-RU"/>
        </w:rPr>
        <w:t>dynamics</w:t>
      </w:r>
      <w:r>
        <w:rPr>
          <w:rFonts w:ascii="Times New Roman" w:eastAsia="Times New Roman" w:hAnsi="Times New Roman" w:cs="Times New Roman"/>
          <w:sz w:val="24"/>
          <w:szCs w:val="24"/>
          <w:lang w:val="en-US" w:eastAsia="ru-RU"/>
        </w:rPr>
        <w:t>.</w:t>
      </w:r>
      <w:r w:rsidR="005567A0" w:rsidRPr="00976909">
        <w:rPr>
          <w:rFonts w:ascii="Times New Roman" w:eastAsia="Times New Roman" w:hAnsi="Times New Roman" w:cs="Times New Roman"/>
          <w:sz w:val="24"/>
          <w:szCs w:val="24"/>
          <w:lang w:val="en-US" w:eastAsia="ru-RU"/>
        </w:rPr>
        <w:t xml:space="preserve"> </w:t>
      </w:r>
      <w:r w:rsidR="005567A0">
        <w:rPr>
          <w:rFonts w:ascii="Times New Roman" w:eastAsia="Times New Roman" w:hAnsi="Times New Roman" w:cs="Times New Roman"/>
          <w:sz w:val="24"/>
          <w:szCs w:val="24"/>
          <w:lang w:val="en-US" w:eastAsia="ru-RU"/>
        </w:rPr>
        <w:t>A</w:t>
      </w:r>
      <w:r w:rsidR="005567A0" w:rsidRPr="00976909">
        <w:rPr>
          <w:rFonts w:ascii="Times New Roman" w:eastAsia="Times New Roman" w:hAnsi="Times New Roman" w:cs="Times New Roman"/>
          <w:sz w:val="24"/>
          <w:szCs w:val="24"/>
          <w:lang w:val="en-US" w:eastAsia="ru-RU"/>
        </w:rPr>
        <w:t xml:space="preserve">ggregate entrepreneurial </w:t>
      </w:r>
      <w:r w:rsidR="005567A0">
        <w:rPr>
          <w:rFonts w:ascii="Times New Roman" w:eastAsia="Times New Roman" w:hAnsi="Times New Roman" w:cs="Times New Roman"/>
          <w:sz w:val="24"/>
          <w:szCs w:val="24"/>
          <w:lang w:val="en-US" w:eastAsia="ru-RU"/>
        </w:rPr>
        <w:t>assessments</w:t>
      </w:r>
      <w:r w:rsidR="005567A0" w:rsidRPr="00976909">
        <w:rPr>
          <w:rFonts w:ascii="Times New Roman" w:eastAsia="Times New Roman" w:hAnsi="Times New Roman" w:cs="Times New Roman"/>
          <w:sz w:val="24"/>
          <w:szCs w:val="24"/>
          <w:lang w:val="en-US" w:eastAsia="ru-RU"/>
        </w:rPr>
        <w:t xml:space="preserve"> reflect the weak and volatile demand for services, the deterioration </w:t>
      </w:r>
      <w:r w:rsidR="005567A0">
        <w:rPr>
          <w:rFonts w:ascii="Times New Roman" w:eastAsia="Times New Roman" w:hAnsi="Times New Roman" w:cs="Times New Roman"/>
          <w:sz w:val="24"/>
          <w:szCs w:val="24"/>
          <w:lang w:val="en-US" w:eastAsia="ru-RU"/>
        </w:rPr>
        <w:t>in</w:t>
      </w:r>
      <w:r w:rsidR="005567A0" w:rsidRPr="00976909">
        <w:rPr>
          <w:rFonts w:ascii="Times New Roman" w:eastAsia="Times New Roman" w:hAnsi="Times New Roman" w:cs="Times New Roman"/>
          <w:sz w:val="24"/>
          <w:szCs w:val="24"/>
          <w:lang w:val="en-US" w:eastAsia="ru-RU"/>
        </w:rPr>
        <w:t xml:space="preserve"> production and financial performance of service organizations and</w:t>
      </w:r>
      <w:r w:rsidR="005567A0">
        <w:rPr>
          <w:rFonts w:ascii="Times New Roman" w:eastAsia="Times New Roman" w:hAnsi="Times New Roman" w:cs="Times New Roman"/>
          <w:sz w:val="24"/>
          <w:szCs w:val="24"/>
          <w:lang w:val="en-US" w:eastAsia="ru-RU"/>
        </w:rPr>
        <w:t xml:space="preserve"> </w:t>
      </w:r>
      <w:r w:rsidR="005567A0" w:rsidRPr="000018A2">
        <w:rPr>
          <w:rFonts w:ascii="Times New Roman" w:eastAsia="Times New Roman" w:hAnsi="Times New Roman" w:cs="Times New Roman"/>
          <w:sz w:val="24"/>
          <w:szCs w:val="24"/>
          <w:lang w:val="en-US" w:eastAsia="ru-RU"/>
        </w:rPr>
        <w:t xml:space="preserve">the </w:t>
      </w:r>
      <w:r w:rsidR="005567A0">
        <w:rPr>
          <w:rFonts w:ascii="Times New Roman" w:eastAsia="Times New Roman" w:hAnsi="Times New Roman" w:cs="Times New Roman"/>
          <w:sz w:val="24"/>
          <w:szCs w:val="24"/>
          <w:lang w:val="en-US" w:eastAsia="ru-RU"/>
        </w:rPr>
        <w:t xml:space="preserve">unfavorable </w:t>
      </w:r>
      <w:r w:rsidR="005567A0" w:rsidRPr="00976909">
        <w:rPr>
          <w:rFonts w:ascii="Times New Roman" w:eastAsia="Times New Roman" w:hAnsi="Times New Roman" w:cs="Times New Roman"/>
          <w:sz w:val="24"/>
          <w:szCs w:val="24"/>
          <w:lang w:val="en-US" w:eastAsia="ru-RU"/>
        </w:rPr>
        <w:t>business climate in this sector</w:t>
      </w:r>
      <w:r w:rsidR="00EF5BE4">
        <w:rPr>
          <w:rFonts w:ascii="Times New Roman" w:eastAsia="Times New Roman" w:hAnsi="Times New Roman" w:cs="Times New Roman"/>
          <w:sz w:val="24"/>
          <w:szCs w:val="24"/>
          <w:lang w:val="en-US" w:eastAsia="ru-RU"/>
        </w:rPr>
        <w:t>.</w:t>
      </w:r>
      <w:r w:rsidR="005567A0" w:rsidRPr="00976909">
        <w:rPr>
          <w:rFonts w:ascii="Times New Roman" w:eastAsia="Times New Roman" w:hAnsi="Times New Roman" w:cs="Times New Roman"/>
          <w:sz w:val="24"/>
          <w:szCs w:val="24"/>
          <w:lang w:val="en-US" w:eastAsia="ru-RU"/>
        </w:rPr>
        <w:t xml:space="preserve"> The Russian service market continue</w:t>
      </w:r>
      <w:r w:rsidR="005567A0">
        <w:rPr>
          <w:rFonts w:ascii="Times New Roman" w:eastAsia="Times New Roman" w:hAnsi="Times New Roman" w:cs="Times New Roman"/>
          <w:sz w:val="24"/>
          <w:szCs w:val="24"/>
          <w:lang w:val="en-US" w:eastAsia="ru-RU"/>
        </w:rPr>
        <w:t>s</w:t>
      </w:r>
      <w:r w:rsidR="005567A0" w:rsidRPr="00976909">
        <w:rPr>
          <w:rFonts w:ascii="Times New Roman" w:eastAsia="Times New Roman" w:hAnsi="Times New Roman" w:cs="Times New Roman"/>
          <w:sz w:val="24"/>
          <w:szCs w:val="24"/>
          <w:lang w:val="en-US" w:eastAsia="ru-RU"/>
        </w:rPr>
        <w:t xml:space="preserve"> to function under conditions of stagnant </w:t>
      </w:r>
      <w:r w:rsidR="005567A0">
        <w:rPr>
          <w:rFonts w:ascii="Times New Roman" w:eastAsia="Times New Roman" w:hAnsi="Times New Roman" w:cs="Times New Roman"/>
          <w:sz w:val="24"/>
          <w:szCs w:val="24"/>
          <w:lang w:val="en-US" w:eastAsia="ru-RU"/>
        </w:rPr>
        <w:t>economy.</w:t>
      </w:r>
    </w:p>
    <w:p w:rsidR="00510C6E" w:rsidRDefault="005567A0" w:rsidP="00510C6E">
      <w:pPr>
        <w:spacing w:after="0" w:line="360" w:lineRule="auto"/>
        <w:ind w:left="142" w:firstLine="709"/>
        <w:jc w:val="both"/>
        <w:rPr>
          <w:rFonts w:ascii="Times New Roman" w:eastAsia="Times New Roman" w:hAnsi="Times New Roman" w:cs="Times New Roman"/>
          <w:sz w:val="24"/>
          <w:szCs w:val="24"/>
          <w:lang w:val="en-US" w:eastAsia="ru-RU"/>
        </w:rPr>
      </w:pPr>
      <w:r w:rsidRPr="005567A0">
        <w:rPr>
          <w:rFonts w:ascii="Times New Roman" w:eastAsia="Times New Roman" w:hAnsi="Times New Roman" w:cs="Times New Roman"/>
          <w:sz w:val="24"/>
          <w:szCs w:val="24"/>
          <w:lang w:val="en-US" w:eastAsia="ru-RU"/>
        </w:rPr>
        <w:lastRenderedPageBreak/>
        <w:t xml:space="preserve">The confidence indicator </w:t>
      </w:r>
      <w:r>
        <w:rPr>
          <w:rFonts w:ascii="Times New Roman" w:eastAsia="Times New Roman" w:hAnsi="Times New Roman" w:cs="Times New Roman"/>
          <w:sz w:val="24"/>
          <w:szCs w:val="24"/>
          <w:lang w:val="en-US" w:eastAsia="ru-RU"/>
        </w:rPr>
        <w:t>dynamics</w:t>
      </w:r>
      <w:r w:rsidRPr="005567A0">
        <w:rPr>
          <w:rFonts w:ascii="Times New Roman" w:eastAsia="Times New Roman" w:hAnsi="Times New Roman" w:cs="Times New Roman"/>
          <w:sz w:val="24"/>
          <w:szCs w:val="24"/>
          <w:lang w:val="en-US" w:eastAsia="ru-RU"/>
        </w:rPr>
        <w:t xml:space="preserve"> is clearly downward, with a slight refraction at the beginning of 2016. The increase in entrepreneurial optimism </w:t>
      </w:r>
      <w:r>
        <w:rPr>
          <w:rFonts w:ascii="Times New Roman" w:eastAsia="Times New Roman" w:hAnsi="Times New Roman" w:cs="Times New Roman"/>
          <w:sz w:val="24"/>
          <w:szCs w:val="24"/>
          <w:lang w:val="en-US" w:eastAsia="ru-RU"/>
        </w:rPr>
        <w:t xml:space="preserve">in 2017 </w:t>
      </w:r>
      <w:r w:rsidRPr="005567A0">
        <w:rPr>
          <w:rFonts w:ascii="Times New Roman" w:eastAsia="Times New Roman" w:hAnsi="Times New Roman" w:cs="Times New Roman"/>
          <w:sz w:val="24"/>
          <w:szCs w:val="24"/>
          <w:lang w:val="en-US" w:eastAsia="ru-RU"/>
        </w:rPr>
        <w:t>did not result in moving confidence to</w:t>
      </w:r>
      <w:r>
        <w:rPr>
          <w:rFonts w:ascii="Times New Roman" w:eastAsia="Times New Roman" w:hAnsi="Times New Roman" w:cs="Times New Roman"/>
          <w:sz w:val="24"/>
          <w:szCs w:val="24"/>
          <w:lang w:val="en-US" w:eastAsia="ru-RU"/>
        </w:rPr>
        <w:t xml:space="preserve"> a</w:t>
      </w:r>
      <w:r w:rsidRPr="005567A0">
        <w:rPr>
          <w:rFonts w:ascii="Times New Roman" w:eastAsia="Times New Roman" w:hAnsi="Times New Roman" w:cs="Times New Roman"/>
          <w:sz w:val="24"/>
          <w:szCs w:val="24"/>
          <w:lang w:val="en-US" w:eastAsia="ru-RU"/>
        </w:rPr>
        <w:t xml:space="preserve"> positive </w:t>
      </w:r>
      <w:r>
        <w:rPr>
          <w:rFonts w:ascii="Times New Roman" w:eastAsia="Times New Roman" w:hAnsi="Times New Roman" w:cs="Times New Roman"/>
          <w:sz w:val="24"/>
          <w:szCs w:val="24"/>
          <w:lang w:val="en-US" w:eastAsia="ru-RU"/>
        </w:rPr>
        <w:t xml:space="preserve">values </w:t>
      </w:r>
      <w:r w:rsidRPr="005567A0">
        <w:rPr>
          <w:rFonts w:ascii="Times New Roman" w:eastAsia="Times New Roman" w:hAnsi="Times New Roman" w:cs="Times New Roman"/>
          <w:sz w:val="24"/>
          <w:szCs w:val="24"/>
          <w:lang w:val="en-US" w:eastAsia="ru-RU"/>
        </w:rPr>
        <w:t>zone.</w:t>
      </w:r>
      <w:r w:rsidR="00EF5BE4">
        <w:rPr>
          <w:rFonts w:ascii="Times New Roman" w:eastAsia="Times New Roman" w:hAnsi="Times New Roman" w:cs="Times New Roman"/>
          <w:sz w:val="24"/>
          <w:szCs w:val="24"/>
          <w:lang w:val="en-US" w:eastAsia="ru-RU"/>
        </w:rPr>
        <w:t xml:space="preserve"> </w:t>
      </w:r>
      <w:r w:rsidR="00510C6E" w:rsidRPr="003163F2">
        <w:rPr>
          <w:rFonts w:ascii="Times New Roman" w:eastAsia="Times New Roman" w:hAnsi="Times New Roman" w:cs="Times New Roman"/>
          <w:sz w:val="24"/>
          <w:szCs w:val="24"/>
          <w:lang w:val="en-US" w:eastAsia="ru-RU"/>
        </w:rPr>
        <w:t>T</w:t>
      </w:r>
      <w:r w:rsidR="00510C6E">
        <w:rPr>
          <w:rFonts w:ascii="Times New Roman" w:eastAsia="Times New Roman" w:hAnsi="Times New Roman" w:cs="Times New Roman"/>
          <w:sz w:val="24"/>
          <w:szCs w:val="24"/>
          <w:lang w:val="en-US" w:eastAsia="ru-RU"/>
        </w:rPr>
        <w:t xml:space="preserve">he </w:t>
      </w:r>
      <w:r w:rsidR="00510C6E" w:rsidRPr="003163F2">
        <w:rPr>
          <w:rFonts w:ascii="Times New Roman" w:eastAsia="Times New Roman" w:hAnsi="Times New Roman" w:cs="Times New Roman"/>
          <w:sz w:val="24"/>
          <w:szCs w:val="24"/>
          <w:lang w:val="en-US" w:eastAsia="ru-RU"/>
        </w:rPr>
        <w:t>short-term expectation</w:t>
      </w:r>
      <w:r w:rsidR="00510C6E">
        <w:rPr>
          <w:rFonts w:ascii="Times New Roman" w:eastAsia="Times New Roman" w:hAnsi="Times New Roman" w:cs="Times New Roman"/>
          <w:sz w:val="24"/>
          <w:szCs w:val="24"/>
          <w:lang w:val="en-US" w:eastAsia="ru-RU"/>
        </w:rPr>
        <w:t>s</w:t>
      </w:r>
      <w:r w:rsidR="00510C6E" w:rsidRPr="003163F2">
        <w:rPr>
          <w:rFonts w:ascii="Times New Roman" w:eastAsia="Times New Roman" w:hAnsi="Times New Roman" w:cs="Times New Roman"/>
          <w:sz w:val="24"/>
          <w:szCs w:val="24"/>
          <w:lang w:val="en-US" w:eastAsia="ru-RU"/>
        </w:rPr>
        <w:t xml:space="preserve"> </w:t>
      </w:r>
      <w:r w:rsidR="00510C6E">
        <w:rPr>
          <w:rFonts w:ascii="Times New Roman" w:eastAsia="Times New Roman" w:hAnsi="Times New Roman" w:cs="Times New Roman"/>
          <w:sz w:val="24"/>
          <w:szCs w:val="24"/>
          <w:lang w:val="en-US" w:eastAsia="ru-RU"/>
        </w:rPr>
        <w:t xml:space="preserve">suggested that the way out </w:t>
      </w:r>
      <w:r w:rsidR="00510C6E" w:rsidRPr="005B62C8">
        <w:rPr>
          <w:rFonts w:ascii="Times New Roman" w:eastAsia="Times New Roman" w:hAnsi="Times New Roman" w:cs="Times New Roman"/>
          <w:sz w:val="24"/>
          <w:szCs w:val="24"/>
          <w:lang w:val="en-US" w:eastAsia="ru-RU"/>
        </w:rPr>
        <w:t>from a prolonged recession</w:t>
      </w:r>
      <w:r w:rsidR="00510C6E" w:rsidRPr="000018A2">
        <w:rPr>
          <w:lang w:val="en-US"/>
        </w:rPr>
        <w:t xml:space="preserve"> </w:t>
      </w:r>
      <w:r w:rsidR="00510C6E" w:rsidRPr="000018A2">
        <w:rPr>
          <w:rFonts w:ascii="Times New Roman" w:eastAsia="Times New Roman" w:hAnsi="Times New Roman" w:cs="Times New Roman"/>
          <w:sz w:val="24"/>
          <w:szCs w:val="24"/>
          <w:lang w:val="en-US" w:eastAsia="ru-RU"/>
        </w:rPr>
        <w:t>for the service sector</w:t>
      </w:r>
      <w:r w:rsidR="00510C6E" w:rsidRPr="005B62C8">
        <w:rPr>
          <w:rFonts w:ascii="Times New Roman" w:eastAsia="Times New Roman" w:hAnsi="Times New Roman" w:cs="Times New Roman"/>
          <w:sz w:val="24"/>
          <w:szCs w:val="24"/>
          <w:lang w:val="en-US" w:eastAsia="ru-RU"/>
        </w:rPr>
        <w:t xml:space="preserve"> </w:t>
      </w:r>
      <w:r w:rsidR="00510C6E">
        <w:rPr>
          <w:rFonts w:ascii="Times New Roman" w:eastAsia="Times New Roman" w:hAnsi="Times New Roman" w:cs="Times New Roman"/>
          <w:sz w:val="24"/>
          <w:szCs w:val="24"/>
          <w:lang w:val="en-US" w:eastAsia="ru-RU"/>
        </w:rPr>
        <w:t xml:space="preserve">is </w:t>
      </w:r>
      <w:r w:rsidR="00510C6E" w:rsidRPr="003163F2">
        <w:rPr>
          <w:rFonts w:ascii="Times New Roman" w:eastAsia="Times New Roman" w:hAnsi="Times New Roman" w:cs="Times New Roman"/>
          <w:sz w:val="24"/>
          <w:szCs w:val="24"/>
          <w:lang w:val="en-US" w:eastAsia="ru-RU"/>
        </w:rPr>
        <w:t xml:space="preserve">possible. However, </w:t>
      </w:r>
      <w:r w:rsidR="00510C6E">
        <w:rPr>
          <w:rFonts w:ascii="Times New Roman" w:eastAsia="Times New Roman" w:hAnsi="Times New Roman" w:cs="Times New Roman"/>
          <w:sz w:val="24"/>
          <w:szCs w:val="24"/>
          <w:lang w:val="en-US" w:eastAsia="ru-RU"/>
        </w:rPr>
        <w:t>a protracted decline in</w:t>
      </w:r>
      <w:r w:rsidR="00510C6E" w:rsidRPr="003163F2">
        <w:rPr>
          <w:rFonts w:ascii="Times New Roman" w:eastAsia="Times New Roman" w:hAnsi="Times New Roman" w:cs="Times New Roman"/>
          <w:sz w:val="24"/>
          <w:szCs w:val="24"/>
          <w:lang w:val="en-US" w:eastAsia="ru-RU"/>
        </w:rPr>
        <w:t xml:space="preserve"> real disposable incomes of the </w:t>
      </w:r>
      <w:r w:rsidR="00510C6E">
        <w:rPr>
          <w:rFonts w:ascii="Times New Roman" w:eastAsia="Times New Roman" w:hAnsi="Times New Roman" w:cs="Times New Roman"/>
          <w:sz w:val="24"/>
          <w:szCs w:val="24"/>
          <w:lang w:val="en-US" w:eastAsia="ru-RU"/>
        </w:rPr>
        <w:t>households</w:t>
      </w:r>
      <w:r w:rsidR="00EF5BE4">
        <w:rPr>
          <w:rFonts w:ascii="Times New Roman" w:eastAsia="Times New Roman" w:hAnsi="Times New Roman" w:cs="Times New Roman"/>
          <w:sz w:val="24"/>
          <w:szCs w:val="24"/>
          <w:lang w:val="en-US" w:eastAsia="ru-RU"/>
        </w:rPr>
        <w:t xml:space="preserve"> and</w:t>
      </w:r>
      <w:r w:rsidR="00510C6E">
        <w:rPr>
          <w:rFonts w:ascii="Times New Roman" w:eastAsia="Times New Roman" w:hAnsi="Times New Roman" w:cs="Times New Roman"/>
          <w:sz w:val="24"/>
          <w:szCs w:val="24"/>
          <w:lang w:val="en-US" w:eastAsia="ru-RU"/>
        </w:rPr>
        <w:t xml:space="preserve"> w</w:t>
      </w:r>
      <w:r w:rsidR="00510C6E" w:rsidRPr="003163F2">
        <w:rPr>
          <w:rFonts w:ascii="Times New Roman" w:eastAsia="Times New Roman" w:hAnsi="Times New Roman" w:cs="Times New Roman"/>
          <w:sz w:val="24"/>
          <w:szCs w:val="24"/>
          <w:lang w:val="en-US" w:eastAsia="ru-RU"/>
        </w:rPr>
        <w:t>eak consumer activity</w:t>
      </w:r>
      <w:r w:rsidR="00EF5BE4">
        <w:rPr>
          <w:rFonts w:ascii="Times New Roman" w:eastAsia="Times New Roman" w:hAnsi="Times New Roman" w:cs="Times New Roman"/>
          <w:sz w:val="24"/>
          <w:szCs w:val="24"/>
          <w:lang w:val="en-US" w:eastAsia="ru-RU"/>
        </w:rPr>
        <w:t xml:space="preserve"> are</w:t>
      </w:r>
      <w:r w:rsidR="00510C6E" w:rsidRPr="003163F2">
        <w:rPr>
          <w:rFonts w:ascii="Times New Roman" w:eastAsia="Times New Roman" w:hAnsi="Times New Roman" w:cs="Times New Roman"/>
          <w:sz w:val="24"/>
          <w:szCs w:val="24"/>
          <w:lang w:val="en-US" w:eastAsia="ru-RU"/>
        </w:rPr>
        <w:t xml:space="preserve"> the main </w:t>
      </w:r>
      <w:r w:rsidR="00EF5BE4">
        <w:rPr>
          <w:rFonts w:ascii="Times New Roman" w:eastAsia="Times New Roman" w:hAnsi="Times New Roman" w:cs="Times New Roman"/>
          <w:sz w:val="24"/>
          <w:szCs w:val="24"/>
          <w:lang w:val="en-US" w:eastAsia="ru-RU"/>
        </w:rPr>
        <w:t xml:space="preserve">factors of </w:t>
      </w:r>
      <w:r w:rsidR="00510C6E" w:rsidRPr="003163F2">
        <w:rPr>
          <w:rFonts w:ascii="Times New Roman" w:eastAsia="Times New Roman" w:hAnsi="Times New Roman" w:cs="Times New Roman"/>
          <w:sz w:val="24"/>
          <w:szCs w:val="24"/>
          <w:lang w:val="en-US" w:eastAsia="ru-RU"/>
        </w:rPr>
        <w:t xml:space="preserve">the </w:t>
      </w:r>
      <w:r w:rsidR="00510C6E" w:rsidRPr="000018A2">
        <w:rPr>
          <w:rFonts w:ascii="Times New Roman" w:eastAsia="Times New Roman" w:hAnsi="Times New Roman" w:cs="Times New Roman"/>
          <w:sz w:val="24"/>
          <w:szCs w:val="24"/>
          <w:lang w:val="en-US" w:eastAsia="ru-RU"/>
        </w:rPr>
        <w:t>services</w:t>
      </w:r>
      <w:r w:rsidR="00510C6E">
        <w:rPr>
          <w:rFonts w:ascii="Times New Roman" w:eastAsia="Times New Roman" w:hAnsi="Times New Roman" w:cs="Times New Roman"/>
          <w:sz w:val="24"/>
          <w:szCs w:val="24"/>
          <w:lang w:val="en-US" w:eastAsia="ru-RU"/>
        </w:rPr>
        <w:t xml:space="preserve"> </w:t>
      </w:r>
      <w:r w:rsidR="00510C6E" w:rsidRPr="00E53B4E">
        <w:rPr>
          <w:rFonts w:ascii="Times New Roman" w:eastAsia="Times New Roman" w:hAnsi="Times New Roman" w:cs="Times New Roman"/>
          <w:sz w:val="24"/>
          <w:szCs w:val="24"/>
          <w:lang w:val="en-US" w:eastAsia="ru-RU"/>
        </w:rPr>
        <w:t xml:space="preserve">confidence </w:t>
      </w:r>
      <w:r w:rsidR="00EF5BE4">
        <w:rPr>
          <w:rFonts w:ascii="Times New Roman" w:eastAsia="Times New Roman" w:hAnsi="Times New Roman" w:cs="Times New Roman"/>
          <w:sz w:val="24"/>
          <w:szCs w:val="24"/>
          <w:lang w:val="en-US" w:eastAsia="ru-RU"/>
        </w:rPr>
        <w:t xml:space="preserve">flat path </w:t>
      </w:r>
      <w:r w:rsidR="00510C6E">
        <w:rPr>
          <w:rFonts w:ascii="Times New Roman" w:eastAsia="Times New Roman" w:hAnsi="Times New Roman" w:cs="Times New Roman"/>
          <w:sz w:val="24"/>
          <w:szCs w:val="24"/>
          <w:lang w:val="en-US" w:eastAsia="ru-RU"/>
        </w:rPr>
        <w:t>in 20</w:t>
      </w:r>
      <w:r w:rsidR="00510C6E" w:rsidRPr="003163F2">
        <w:rPr>
          <w:rFonts w:ascii="Times New Roman" w:eastAsia="Times New Roman" w:hAnsi="Times New Roman" w:cs="Times New Roman"/>
          <w:sz w:val="24"/>
          <w:szCs w:val="24"/>
          <w:lang w:val="en-US" w:eastAsia="ru-RU"/>
        </w:rPr>
        <w:t>17.</w:t>
      </w:r>
    </w:p>
    <w:p w:rsidR="008B5EC6" w:rsidRDefault="00510C6E" w:rsidP="00510C6E">
      <w:pPr>
        <w:spacing w:after="0" w:line="360" w:lineRule="auto"/>
        <w:ind w:lef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p w:rsidR="008B5EC6" w:rsidRPr="008B5EC6" w:rsidRDefault="008B5EC6" w:rsidP="008B5EC6">
      <w:pPr>
        <w:keepNext/>
        <w:spacing w:before="240" w:after="120" w:line="360" w:lineRule="auto"/>
        <w:rPr>
          <w:rFonts w:ascii="Times New Roman" w:hAnsi="Times New Roman" w:cs="Times New Roman"/>
          <w:b/>
          <w:sz w:val="24"/>
          <w:szCs w:val="24"/>
          <w:lang w:val="en-US"/>
        </w:rPr>
      </w:pPr>
      <w:r w:rsidRPr="008B5EC6">
        <w:rPr>
          <w:rFonts w:ascii="Times New Roman" w:hAnsi="Times New Roman" w:cs="Times New Roman"/>
          <w:b/>
          <w:sz w:val="24"/>
          <w:szCs w:val="24"/>
          <w:lang w:val="en-US"/>
        </w:rPr>
        <w:t>References</w:t>
      </w:r>
    </w:p>
    <w:p w:rsidR="00A403A3" w:rsidRPr="00234CE9" w:rsidRDefault="00A70222" w:rsidP="00234CE9">
      <w:pPr>
        <w:pStyle w:val="References"/>
        <w:rPr>
          <w:sz w:val="24"/>
          <w:szCs w:val="24"/>
        </w:rPr>
      </w:pPr>
      <w:r w:rsidRPr="00234CE9">
        <w:rPr>
          <w:sz w:val="24"/>
          <w:szCs w:val="24"/>
        </w:rPr>
        <w:t xml:space="preserve">Kitrar L. and </w:t>
      </w:r>
      <w:proofErr w:type="spellStart"/>
      <w:r w:rsidRPr="00234CE9">
        <w:rPr>
          <w:sz w:val="24"/>
          <w:szCs w:val="24"/>
        </w:rPr>
        <w:t>Upadhyaya</w:t>
      </w:r>
      <w:proofErr w:type="spellEnd"/>
      <w:r w:rsidRPr="00234CE9">
        <w:rPr>
          <w:sz w:val="24"/>
          <w:szCs w:val="24"/>
        </w:rPr>
        <w:t xml:space="preserve"> Sh. (2017) Industrial development in the CIS: Reindustrialization trends and potential. UNIDO Working Papers 6/2017.</w:t>
      </w:r>
    </w:p>
    <w:p w:rsidR="00A403A3" w:rsidRPr="00234CE9" w:rsidRDefault="00A403A3" w:rsidP="00234CE9">
      <w:pPr>
        <w:pStyle w:val="References"/>
        <w:rPr>
          <w:sz w:val="24"/>
          <w:szCs w:val="24"/>
        </w:rPr>
      </w:pPr>
      <w:proofErr w:type="spellStart"/>
      <w:r w:rsidRPr="00234CE9">
        <w:rPr>
          <w:sz w:val="24"/>
          <w:szCs w:val="24"/>
        </w:rPr>
        <w:t>Upadhyaya</w:t>
      </w:r>
      <w:proofErr w:type="spellEnd"/>
      <w:r w:rsidRPr="00234CE9">
        <w:rPr>
          <w:sz w:val="24"/>
          <w:szCs w:val="24"/>
        </w:rPr>
        <w:t xml:space="preserve"> Sh., Kitrar L., </w:t>
      </w:r>
      <w:proofErr w:type="spellStart"/>
      <w:r w:rsidRPr="00234CE9">
        <w:rPr>
          <w:sz w:val="24"/>
          <w:szCs w:val="24"/>
        </w:rPr>
        <w:t>Ostapkovich</w:t>
      </w:r>
      <w:proofErr w:type="spellEnd"/>
      <w:r w:rsidRPr="00234CE9">
        <w:rPr>
          <w:sz w:val="24"/>
          <w:szCs w:val="24"/>
        </w:rPr>
        <w:t xml:space="preserve"> G., </w:t>
      </w:r>
      <w:proofErr w:type="spellStart"/>
      <w:r w:rsidRPr="00234CE9">
        <w:rPr>
          <w:sz w:val="24"/>
          <w:szCs w:val="24"/>
        </w:rPr>
        <w:t>Lipkind</w:t>
      </w:r>
      <w:proofErr w:type="spellEnd"/>
      <w:r w:rsidRPr="00234CE9">
        <w:rPr>
          <w:sz w:val="24"/>
          <w:szCs w:val="24"/>
        </w:rPr>
        <w:t xml:space="preserve"> T. </w:t>
      </w:r>
      <w:r w:rsidR="00A70222" w:rsidRPr="00234CE9">
        <w:rPr>
          <w:sz w:val="24"/>
          <w:szCs w:val="24"/>
        </w:rPr>
        <w:t xml:space="preserve">(2016) </w:t>
      </w:r>
      <w:r w:rsidRPr="00234CE9">
        <w:rPr>
          <w:sz w:val="24"/>
          <w:szCs w:val="24"/>
        </w:rPr>
        <w:t xml:space="preserve">The main vectors of cross-border development in the CIS industrial and economic space: convergence, potential, cross-country gaps. </w:t>
      </w:r>
      <w:r w:rsidR="00A70222" w:rsidRPr="00234CE9">
        <w:rPr>
          <w:sz w:val="24"/>
          <w:szCs w:val="24"/>
        </w:rPr>
        <w:t>HSE Working Papers WP BRP 60/STI/2016.</w:t>
      </w:r>
    </w:p>
    <w:p w:rsidR="00234CE9" w:rsidRPr="00234CE9" w:rsidRDefault="00234CE9" w:rsidP="00234CE9">
      <w:pPr>
        <w:pStyle w:val="References"/>
        <w:rPr>
          <w:sz w:val="24"/>
          <w:szCs w:val="24"/>
        </w:rPr>
      </w:pPr>
      <w:r w:rsidRPr="00234CE9">
        <w:rPr>
          <w:sz w:val="24"/>
          <w:szCs w:val="24"/>
        </w:rPr>
        <w:t xml:space="preserve">European Commission (2017). The Joint </w:t>
      </w:r>
      <w:r w:rsidRPr="00234CE9">
        <w:rPr>
          <w:sz w:val="24"/>
          <w:szCs w:val="24"/>
          <w:lang w:val="en-GB"/>
        </w:rPr>
        <w:t>Harmonised</w:t>
      </w:r>
      <w:r w:rsidRPr="00234CE9">
        <w:rPr>
          <w:sz w:val="24"/>
          <w:szCs w:val="24"/>
        </w:rPr>
        <w:t xml:space="preserve"> EU </w:t>
      </w:r>
      <w:r w:rsidRPr="00234CE9">
        <w:rPr>
          <w:sz w:val="24"/>
          <w:szCs w:val="24"/>
          <w:lang w:val="en-GB"/>
        </w:rPr>
        <w:t>Programme</w:t>
      </w:r>
      <w:r w:rsidRPr="00234CE9">
        <w:rPr>
          <w:sz w:val="24"/>
          <w:szCs w:val="24"/>
        </w:rPr>
        <w:t xml:space="preserve"> of Business and Consumer Surveys. User Guide. Directorate-General for Economic and Financial Affairs, European Commission. Available at: https://ec.europa.eu/info/sites/info/files/bcs_user_guide_en_0.pdf, accessed April 201</w:t>
      </w:r>
      <w:r w:rsidR="00235FD0">
        <w:rPr>
          <w:sz w:val="24"/>
          <w:szCs w:val="24"/>
        </w:rPr>
        <w:t>8</w:t>
      </w:r>
      <w:r w:rsidRPr="00234CE9">
        <w:rPr>
          <w:sz w:val="24"/>
          <w:szCs w:val="24"/>
        </w:rPr>
        <w:t>.</w:t>
      </w:r>
    </w:p>
    <w:p w:rsidR="00234CE9" w:rsidRPr="00234CE9" w:rsidRDefault="00234CE9" w:rsidP="00234CE9">
      <w:pPr>
        <w:pStyle w:val="References"/>
        <w:rPr>
          <w:sz w:val="24"/>
          <w:szCs w:val="24"/>
        </w:rPr>
      </w:pPr>
      <w:r w:rsidRPr="00234CE9">
        <w:rPr>
          <w:sz w:val="24"/>
          <w:szCs w:val="24"/>
        </w:rPr>
        <w:t>European Commission (2000). Business Climate Indicators for the Euro Area. Presentation Paper. Brussels, November 2000 Available at: http://ec.europa.eu/economy_finance/db_indicators/surveys/documents/studies/bci_presentation_paper.pdf, accessed April 201</w:t>
      </w:r>
      <w:r w:rsidR="00235FD0">
        <w:rPr>
          <w:sz w:val="24"/>
          <w:szCs w:val="24"/>
        </w:rPr>
        <w:t>8</w:t>
      </w:r>
      <w:r w:rsidRPr="00234CE9">
        <w:rPr>
          <w:sz w:val="24"/>
          <w:szCs w:val="24"/>
        </w:rPr>
        <w:t>.</w:t>
      </w:r>
    </w:p>
    <w:p w:rsidR="00234CE9" w:rsidRPr="00234CE9" w:rsidRDefault="00234CE9" w:rsidP="00234CE9">
      <w:pPr>
        <w:pStyle w:val="References"/>
        <w:rPr>
          <w:sz w:val="24"/>
          <w:szCs w:val="24"/>
        </w:rPr>
      </w:pPr>
      <w:r w:rsidRPr="00234CE9">
        <w:rPr>
          <w:sz w:val="24"/>
          <w:szCs w:val="24"/>
        </w:rPr>
        <w:t>OECD. (2003). Business Tendency Survey. A Handbook. Available at: http://www.oecd.org/std/leading-indicators/31837055.pdf, accessed April 201</w:t>
      </w:r>
      <w:r w:rsidR="00235FD0">
        <w:rPr>
          <w:sz w:val="24"/>
          <w:szCs w:val="24"/>
        </w:rPr>
        <w:t>8</w:t>
      </w:r>
      <w:r w:rsidRPr="00234CE9">
        <w:rPr>
          <w:sz w:val="24"/>
          <w:szCs w:val="24"/>
        </w:rPr>
        <w:t>7.</w:t>
      </w:r>
    </w:p>
    <w:p w:rsidR="00234CE9" w:rsidRPr="00A403A3" w:rsidRDefault="00234CE9" w:rsidP="00A403A3">
      <w:pPr>
        <w:spacing w:before="240" w:after="120" w:line="240" w:lineRule="auto"/>
        <w:rPr>
          <w:rFonts w:ascii="Times New Roman" w:eastAsia="SimSun" w:hAnsi="Times New Roman" w:cs="Times New Roman"/>
          <w:kern w:val="2"/>
          <w:sz w:val="24"/>
          <w:szCs w:val="24"/>
          <w:lang w:val="en-US" w:eastAsia="zh-CN"/>
        </w:rPr>
      </w:pPr>
    </w:p>
    <w:p w:rsidR="00071898" w:rsidRPr="00235FD0" w:rsidRDefault="00071898" w:rsidP="00235FD0">
      <w:pPr>
        <w:pStyle w:val="MainText"/>
        <w:keepNext/>
        <w:spacing w:before="120"/>
        <w:ind w:firstLine="0"/>
        <w:rPr>
          <w:b/>
          <w:sz w:val="24"/>
          <w:szCs w:val="24"/>
        </w:rPr>
      </w:pPr>
      <w:r w:rsidRPr="00235FD0">
        <w:rPr>
          <w:b/>
          <w:sz w:val="24"/>
          <w:szCs w:val="24"/>
        </w:rPr>
        <w:t>Appendix</w:t>
      </w:r>
    </w:p>
    <w:p w:rsidR="001A0C56" w:rsidRPr="008C03DD" w:rsidRDefault="001A0C56" w:rsidP="001A0C56">
      <w:pPr>
        <w:keepNext/>
        <w:spacing w:before="240" w:after="120" w:line="240" w:lineRule="auto"/>
        <w:rPr>
          <w:rFonts w:ascii="Times New Roman" w:eastAsia="Times New Roman" w:hAnsi="Times New Roman" w:cs="Times New Roman"/>
          <w:b/>
          <w:color w:val="5F5F5F"/>
          <w:lang w:val="en-US" w:eastAsia="ru-RU"/>
        </w:rPr>
      </w:pPr>
      <w:r w:rsidRPr="008C03DD">
        <w:rPr>
          <w:rFonts w:ascii="Times New Roman" w:eastAsia="Times New Roman" w:hAnsi="Times New Roman" w:cs="Times New Roman"/>
          <w:b/>
          <w:lang w:val="en-US" w:eastAsia="ru-RU"/>
        </w:rPr>
        <w:t>Table</w:t>
      </w:r>
      <w:r w:rsidRPr="00303ACF">
        <w:rPr>
          <w:rFonts w:ascii="Times New Roman" w:eastAsia="Times New Roman" w:hAnsi="Times New Roman" w:cs="Times New Roman"/>
          <w:b/>
          <w:lang w:val="en-US" w:eastAsia="ru-RU"/>
        </w:rPr>
        <w:t xml:space="preserve"> 1. </w:t>
      </w:r>
      <w:r w:rsidRPr="008C03DD">
        <w:rPr>
          <w:rFonts w:ascii="Times New Roman" w:eastAsia="Times New Roman" w:hAnsi="Times New Roman" w:cs="Times New Roman"/>
          <w:b/>
          <w:lang w:val="en-US" w:eastAsia="ru-RU"/>
        </w:rPr>
        <w:t>Sampling by various kinds of services activities</w:t>
      </w:r>
      <w:r w:rsidR="00A134F1">
        <w:rPr>
          <w:rFonts w:ascii="Times New Roman" w:eastAsia="Times New Roman" w:hAnsi="Times New Roman" w:cs="Times New Roman"/>
          <w:b/>
          <w:lang w:val="en-US" w:eastAsia="ru-RU"/>
        </w:rPr>
        <w:t xml:space="preserve"> (2017)</w:t>
      </w:r>
    </w:p>
    <w:tbl>
      <w:tblPr>
        <w:tblW w:w="8505" w:type="dxa"/>
        <w:tblInd w:w="57" w:type="dxa"/>
        <w:tblLayout w:type="fixed"/>
        <w:tblCellMar>
          <w:left w:w="57" w:type="dxa"/>
          <w:right w:w="57" w:type="dxa"/>
        </w:tblCellMar>
        <w:tblLook w:val="0000" w:firstRow="0" w:lastRow="0" w:firstColumn="0" w:lastColumn="0" w:noHBand="0" w:noVBand="0"/>
      </w:tblPr>
      <w:tblGrid>
        <w:gridCol w:w="6379"/>
        <w:gridCol w:w="2126"/>
      </w:tblGrid>
      <w:tr w:rsidR="001A0C56" w:rsidRPr="00CC2386" w:rsidTr="00D6460D">
        <w:trPr>
          <w:trHeight w:val="20"/>
          <w:tblHeader/>
        </w:trPr>
        <w:tc>
          <w:tcPr>
            <w:tcW w:w="6379" w:type="dxa"/>
            <w:tcBorders>
              <w:top w:val="single" w:sz="4" w:space="0" w:color="C00000"/>
              <w:bottom w:val="single" w:sz="4" w:space="0" w:color="C00000"/>
              <w:right w:val="single" w:sz="4" w:space="0" w:color="C00000"/>
            </w:tcBorders>
            <w:vAlign w:val="center"/>
          </w:tcPr>
          <w:p w:rsidR="001A0C56" w:rsidRPr="008C03DD" w:rsidRDefault="001A0C56" w:rsidP="00D6460D">
            <w:pPr>
              <w:spacing w:before="60" w:after="60" w:line="220" w:lineRule="exact"/>
              <w:jc w:val="center"/>
              <w:rPr>
                <w:rFonts w:ascii="Times New Roman" w:eastAsia="Times New Roman" w:hAnsi="Times New Roman" w:cs="Times New Roman"/>
                <w:sz w:val="20"/>
                <w:szCs w:val="20"/>
                <w:lang w:val="en-US" w:eastAsia="ru-RU"/>
              </w:rPr>
            </w:pPr>
            <w:r w:rsidRPr="008C03DD">
              <w:rPr>
                <w:rFonts w:ascii="Times New Roman" w:eastAsia="Times New Roman" w:hAnsi="Times New Roman" w:cs="Times New Roman"/>
                <w:sz w:val="20"/>
                <w:szCs w:val="20"/>
                <w:lang w:val="en-US" w:eastAsia="ru-RU"/>
              </w:rPr>
              <w:t>Kind of activities according to the national classification</w:t>
            </w:r>
          </w:p>
        </w:tc>
        <w:tc>
          <w:tcPr>
            <w:tcW w:w="2126" w:type="dxa"/>
            <w:tcBorders>
              <w:top w:val="single" w:sz="4" w:space="0" w:color="C00000"/>
              <w:left w:val="single" w:sz="4" w:space="0" w:color="C00000"/>
              <w:bottom w:val="single" w:sz="4" w:space="0" w:color="C00000"/>
            </w:tcBorders>
            <w:vAlign w:val="center"/>
          </w:tcPr>
          <w:p w:rsidR="001A0C56" w:rsidRPr="008C03DD" w:rsidRDefault="001A0C56" w:rsidP="00D6460D">
            <w:pPr>
              <w:spacing w:before="60" w:after="60" w:line="220" w:lineRule="exact"/>
              <w:jc w:val="center"/>
              <w:rPr>
                <w:rFonts w:ascii="Times New Roman" w:eastAsia="Times New Roman" w:hAnsi="Times New Roman" w:cs="Times New Roman"/>
                <w:sz w:val="20"/>
                <w:szCs w:val="20"/>
                <w:lang w:val="en-US" w:eastAsia="ru-RU"/>
              </w:rPr>
            </w:pPr>
            <w:r w:rsidRPr="008C03DD">
              <w:rPr>
                <w:rFonts w:ascii="Times New Roman" w:eastAsia="Times New Roman" w:hAnsi="Times New Roman" w:cs="Times New Roman"/>
                <w:sz w:val="20"/>
                <w:szCs w:val="20"/>
                <w:lang w:val="en-US" w:eastAsia="ru-RU"/>
              </w:rPr>
              <w:t>Number of units</w:t>
            </w:r>
          </w:p>
        </w:tc>
      </w:tr>
      <w:tr w:rsidR="001A0C56" w:rsidRPr="00BF7ECA" w:rsidTr="00D6460D">
        <w:trPr>
          <w:trHeight w:val="20"/>
        </w:trPr>
        <w:tc>
          <w:tcPr>
            <w:tcW w:w="6379" w:type="dxa"/>
            <w:tcBorders>
              <w:top w:val="single" w:sz="4" w:space="0" w:color="C00000"/>
              <w:bottom w:val="dashed" w:sz="4" w:space="0" w:color="C00000"/>
            </w:tcBorders>
            <w:vAlign w:val="center"/>
          </w:tcPr>
          <w:p w:rsidR="001A0C56" w:rsidRPr="00BF7ECA" w:rsidRDefault="001A0C56" w:rsidP="00D6460D">
            <w:pPr>
              <w:suppressAutoHyphens/>
              <w:spacing w:before="60" w:after="60" w:line="224" w:lineRule="exact"/>
              <w:rPr>
                <w:rFonts w:ascii="Times New Roman" w:eastAsia="Times New Roman" w:hAnsi="Times New Roman" w:cs="Times New Roman"/>
                <w:spacing w:val="-3"/>
                <w:sz w:val="20"/>
                <w:szCs w:val="20"/>
                <w:lang w:val="en-US" w:eastAsia="ru-RU"/>
              </w:rPr>
            </w:pPr>
            <w:r w:rsidRPr="00BF7ECA">
              <w:rPr>
                <w:rFonts w:ascii="Times New Roman" w:eastAsia="Times New Roman" w:hAnsi="Times New Roman" w:cs="Times New Roman"/>
                <w:spacing w:val="-3"/>
                <w:sz w:val="20"/>
                <w:szCs w:val="20"/>
                <w:lang w:val="en-US" w:eastAsia="ru-RU"/>
              </w:rPr>
              <w:t>Passenger land (excepting railway), water and air transport</w:t>
            </w:r>
          </w:p>
        </w:tc>
        <w:tc>
          <w:tcPr>
            <w:tcW w:w="2126" w:type="dxa"/>
            <w:tcBorders>
              <w:top w:val="single" w:sz="4" w:space="0" w:color="C00000"/>
              <w:bottom w:val="dashed" w:sz="4" w:space="0" w:color="C00000"/>
            </w:tcBorders>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910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Public postal service, courier activities (except national postal activities), telecommunication</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580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Hotels and other accommodations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550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Insurance</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130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Short-term loans providing by pawnshops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120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Maintenance and repair of motor vehicles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450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pacing w:val="-3"/>
                <w:sz w:val="20"/>
                <w:szCs w:val="20"/>
                <w:lang w:val="en-US" w:eastAsia="ru-RU"/>
              </w:rPr>
            </w:pPr>
            <w:r w:rsidRPr="00BF7ECA">
              <w:rPr>
                <w:rFonts w:ascii="Times New Roman" w:eastAsia="Times New Roman" w:hAnsi="Times New Roman" w:cs="Times New Roman"/>
                <w:sz w:val="20"/>
                <w:szCs w:val="20"/>
                <w:lang w:val="en-US" w:eastAsia="ru-RU"/>
              </w:rPr>
              <w:lastRenderedPageBreak/>
              <w:t>Repair of housing goods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140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 xml:space="preserve">Personal services </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580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Travel agency and tour operator activities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190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Sanatoria and health resort</w:t>
            </w:r>
            <w:r>
              <w:rPr>
                <w:rFonts w:ascii="Times New Roman" w:eastAsia="Times New Roman" w:hAnsi="Times New Roman" w:cs="Times New Roman"/>
                <w:sz w:val="20"/>
                <w:szCs w:val="20"/>
                <w:lang w:val="en-US" w:eastAsia="ru-RU"/>
              </w:rPr>
              <w:t>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320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Dental services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400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Sport, ent</w:t>
            </w:r>
            <w:r>
              <w:rPr>
                <w:rFonts w:ascii="Times New Roman" w:eastAsia="Times New Roman" w:hAnsi="Times New Roman" w:cs="Times New Roman"/>
                <w:sz w:val="20"/>
                <w:szCs w:val="20"/>
                <w:lang w:val="en-US" w:eastAsia="ru-RU"/>
              </w:rPr>
              <w:t>e</w:t>
            </w:r>
            <w:r w:rsidRPr="00BF7ECA">
              <w:rPr>
                <w:rFonts w:ascii="Times New Roman" w:eastAsia="Times New Roman" w:hAnsi="Times New Roman" w:cs="Times New Roman"/>
                <w:sz w:val="20"/>
                <w:szCs w:val="20"/>
                <w:lang w:val="en-US" w:eastAsia="ru-RU"/>
              </w:rPr>
              <w:t>rtainment, cultural and recreation activities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70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Advertising and market research activities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320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Real estate activities</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180</w:t>
            </w:r>
          </w:p>
        </w:tc>
      </w:tr>
      <w:tr w:rsidR="001A0C56" w:rsidRPr="00BF7ECA" w:rsidTr="00D6460D">
        <w:trPr>
          <w:trHeight w:val="20"/>
        </w:trPr>
        <w:tc>
          <w:tcPr>
            <w:tcW w:w="6379" w:type="dxa"/>
            <w:tcBorders>
              <w:top w:val="dashed" w:sz="4" w:space="0" w:color="C00000"/>
              <w:bottom w:val="dashed" w:sz="4" w:space="0" w:color="C00000"/>
            </w:tcBorders>
            <w:noWrap/>
            <w:vAlign w:val="center"/>
          </w:tcPr>
          <w:p w:rsidR="001A0C56" w:rsidRPr="00BF7ECA" w:rsidRDefault="001A0C56" w:rsidP="00D6460D">
            <w:pPr>
              <w:suppressAutoHyphens/>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Cargo transportation</w:t>
            </w:r>
          </w:p>
        </w:tc>
        <w:tc>
          <w:tcPr>
            <w:tcW w:w="2126" w:type="dxa"/>
            <w:tcBorders>
              <w:top w:val="dashed" w:sz="4" w:space="0" w:color="C00000"/>
              <w:bottom w:val="dashed" w:sz="4" w:space="0" w:color="C0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590</w:t>
            </w:r>
          </w:p>
        </w:tc>
      </w:tr>
      <w:tr w:rsidR="001A0C56" w:rsidRPr="00BF7ECA" w:rsidTr="00D6460D">
        <w:trPr>
          <w:trHeight w:val="20"/>
        </w:trPr>
        <w:tc>
          <w:tcPr>
            <w:tcW w:w="6379" w:type="dxa"/>
            <w:tcBorders>
              <w:top w:val="dashed" w:sz="4" w:space="0" w:color="C00000"/>
              <w:bottom w:val="single" w:sz="4" w:space="0" w:color="C30000"/>
            </w:tcBorders>
            <w:noWrap/>
            <w:vAlign w:val="center"/>
          </w:tcPr>
          <w:p w:rsidR="001A0C56" w:rsidRPr="00BF7ECA" w:rsidRDefault="001A0C56" w:rsidP="00D6460D">
            <w:pPr>
              <w:spacing w:before="60" w:after="60" w:line="224" w:lineRule="exact"/>
              <w:rPr>
                <w:rFonts w:ascii="Times New Roman" w:eastAsia="Times New Roman" w:hAnsi="Times New Roman" w:cs="Times New Roman"/>
                <w:sz w:val="20"/>
                <w:szCs w:val="20"/>
                <w:lang w:val="en-US" w:eastAsia="ru-RU"/>
              </w:rPr>
            </w:pPr>
            <w:r w:rsidRPr="00BF7ECA">
              <w:rPr>
                <w:rFonts w:ascii="Times New Roman" w:eastAsia="Times New Roman" w:hAnsi="Times New Roman" w:cs="Times New Roman"/>
                <w:sz w:val="20"/>
                <w:szCs w:val="20"/>
                <w:lang w:val="en-US" w:eastAsia="ru-RU"/>
              </w:rPr>
              <w:t xml:space="preserve">Total </w:t>
            </w:r>
          </w:p>
        </w:tc>
        <w:tc>
          <w:tcPr>
            <w:tcW w:w="2126" w:type="dxa"/>
            <w:tcBorders>
              <w:top w:val="dashed" w:sz="4" w:space="0" w:color="C00000"/>
              <w:bottom w:val="single" w:sz="4" w:space="0" w:color="C30000"/>
            </w:tcBorders>
            <w:noWrap/>
            <w:vAlign w:val="center"/>
          </w:tcPr>
          <w:p w:rsidR="001A0C56" w:rsidRPr="00BF7ECA" w:rsidRDefault="001A0C56" w:rsidP="00D6460D">
            <w:pPr>
              <w:spacing w:before="60" w:after="60" w:line="224" w:lineRule="exact"/>
              <w:jc w:val="center"/>
              <w:rPr>
                <w:rFonts w:ascii="Times New Roman" w:eastAsia="Times New Roman" w:hAnsi="Times New Roman" w:cs="Times New Roman"/>
                <w:b/>
                <w:sz w:val="20"/>
                <w:szCs w:val="20"/>
                <w:lang w:val="en-US" w:eastAsia="ru-RU"/>
              </w:rPr>
            </w:pPr>
            <w:r w:rsidRPr="00BF7ECA">
              <w:rPr>
                <w:rFonts w:ascii="Times New Roman" w:eastAsia="Times New Roman" w:hAnsi="Times New Roman" w:cs="Times New Roman"/>
                <w:b/>
                <w:sz w:val="20"/>
                <w:szCs w:val="20"/>
                <w:lang w:val="en-US" w:eastAsia="ru-RU"/>
              </w:rPr>
              <w:t>5530</w:t>
            </w:r>
          </w:p>
        </w:tc>
      </w:tr>
    </w:tbl>
    <w:p w:rsidR="001A0C56" w:rsidRDefault="001A0C56" w:rsidP="001A0C56">
      <w:pPr>
        <w:spacing w:after="0" w:line="360" w:lineRule="auto"/>
        <w:ind w:firstLine="680"/>
        <w:jc w:val="both"/>
        <w:rPr>
          <w:rFonts w:ascii="Times New Roman" w:hAnsi="Times New Roman" w:cs="Times New Roman"/>
          <w:color w:val="000000"/>
          <w:sz w:val="24"/>
          <w:szCs w:val="24"/>
          <w:lang w:val="en-US"/>
        </w:rPr>
      </w:pPr>
    </w:p>
    <w:p w:rsidR="00BF7ECA" w:rsidRPr="00A134F1" w:rsidRDefault="00A134F1" w:rsidP="00A134F1">
      <w:pPr>
        <w:keepNext/>
        <w:spacing w:before="240" w:after="120" w:line="240" w:lineRule="auto"/>
        <w:rPr>
          <w:rFonts w:ascii="Times New Roman" w:eastAsia="Times New Roman" w:hAnsi="Times New Roman" w:cs="Times New Roman"/>
          <w:b/>
          <w:lang w:val="en-US" w:eastAsia="ru-RU"/>
        </w:rPr>
      </w:pPr>
      <w:r w:rsidRPr="008C03DD">
        <w:rPr>
          <w:rFonts w:ascii="Times New Roman" w:eastAsia="Times New Roman" w:hAnsi="Times New Roman" w:cs="Times New Roman"/>
          <w:b/>
          <w:lang w:val="en-US" w:eastAsia="ru-RU"/>
        </w:rPr>
        <w:t>Table</w:t>
      </w:r>
      <w:r w:rsidRPr="00303ACF">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2</w:t>
      </w:r>
      <w:r w:rsidRPr="00303ACF">
        <w:rPr>
          <w:rFonts w:ascii="Times New Roman" w:eastAsia="Times New Roman" w:hAnsi="Times New Roman" w:cs="Times New Roman"/>
          <w:b/>
          <w:lang w:val="en-US" w:eastAsia="ru-RU"/>
        </w:rPr>
        <w:t xml:space="preserve">. </w:t>
      </w:r>
      <w:r w:rsidR="00BF7ECA" w:rsidRPr="00A134F1">
        <w:rPr>
          <w:rFonts w:ascii="Times New Roman" w:eastAsia="Times New Roman" w:hAnsi="Times New Roman" w:cs="Times New Roman"/>
          <w:b/>
          <w:lang w:val="en-US" w:eastAsia="ru-RU"/>
        </w:rPr>
        <w:t xml:space="preserve">Questions included in the </w:t>
      </w:r>
      <w:r>
        <w:rPr>
          <w:rFonts w:ascii="Times New Roman" w:eastAsia="Times New Roman" w:hAnsi="Times New Roman" w:cs="Times New Roman"/>
          <w:b/>
          <w:lang w:val="en-US" w:eastAsia="ru-RU"/>
        </w:rPr>
        <w:t xml:space="preserve">services </w:t>
      </w:r>
      <w:r w:rsidR="00BF7ECA" w:rsidRPr="00A134F1">
        <w:rPr>
          <w:rFonts w:ascii="Times New Roman" w:eastAsia="Times New Roman" w:hAnsi="Times New Roman" w:cs="Times New Roman"/>
          <w:b/>
          <w:lang w:val="en-US" w:eastAsia="ru-RU"/>
        </w:rPr>
        <w:t xml:space="preserve">survey (the </w:t>
      </w:r>
      <w:proofErr w:type="spellStart"/>
      <w:r w:rsidR="00BF7ECA" w:rsidRPr="00A134F1">
        <w:rPr>
          <w:rFonts w:ascii="Times New Roman" w:eastAsia="Times New Roman" w:hAnsi="Times New Roman" w:cs="Times New Roman"/>
          <w:b/>
          <w:lang w:val="en-US" w:eastAsia="ru-RU"/>
        </w:rPr>
        <w:t>harmonised</w:t>
      </w:r>
      <w:proofErr w:type="spellEnd"/>
      <w:r w:rsidR="00BF7ECA" w:rsidRPr="00A134F1">
        <w:rPr>
          <w:rFonts w:ascii="Times New Roman" w:eastAsia="Times New Roman" w:hAnsi="Times New Roman" w:cs="Times New Roman"/>
          <w:b/>
          <w:lang w:val="en-US" w:eastAsia="ru-RU"/>
        </w:rPr>
        <w:t xml:space="preserve"> questions are marked in bold)</w:t>
      </w:r>
    </w:p>
    <w:tbl>
      <w:tblPr>
        <w:tblW w:w="4574" w:type="pct"/>
        <w:tblLayout w:type="fixed"/>
        <w:tblLook w:val="01E0" w:firstRow="1" w:lastRow="1" w:firstColumn="1" w:lastColumn="1" w:noHBand="0" w:noVBand="0"/>
      </w:tblPr>
      <w:tblGrid>
        <w:gridCol w:w="3652"/>
        <w:gridCol w:w="1701"/>
        <w:gridCol w:w="1701"/>
        <w:gridCol w:w="1702"/>
      </w:tblGrid>
      <w:tr w:rsidR="00BF7ECA" w:rsidRPr="00714F65" w:rsidTr="00235FD0">
        <w:trPr>
          <w:trHeight w:val="284"/>
        </w:trPr>
        <w:tc>
          <w:tcPr>
            <w:tcW w:w="3652" w:type="dxa"/>
            <w:tcBorders>
              <w:top w:val="single" w:sz="4" w:space="0" w:color="auto"/>
            </w:tcBorders>
            <w:vAlign w:val="center"/>
          </w:tcPr>
          <w:p w:rsidR="00BF7ECA" w:rsidRPr="00FB0AB7" w:rsidRDefault="00BF7ECA" w:rsidP="00BF7ECA">
            <w:pPr>
              <w:pStyle w:val="Tablecaption"/>
              <w:spacing w:before="0" w:after="0" w:line="240" w:lineRule="auto"/>
              <w:jc w:val="left"/>
              <w:rPr>
                <w:b/>
              </w:rPr>
            </w:pPr>
            <w:r w:rsidRPr="00BF7ECA">
              <w:rPr>
                <w:b/>
              </w:rPr>
              <w:t>Questions</w:t>
            </w:r>
          </w:p>
        </w:tc>
        <w:tc>
          <w:tcPr>
            <w:tcW w:w="1701" w:type="dxa"/>
            <w:tcBorders>
              <w:top w:val="single" w:sz="4" w:space="0" w:color="auto"/>
            </w:tcBorders>
            <w:vAlign w:val="center"/>
          </w:tcPr>
          <w:p w:rsidR="00BF7ECA" w:rsidRPr="00BE148A" w:rsidRDefault="00BF7ECA" w:rsidP="00235FD0">
            <w:pPr>
              <w:pStyle w:val="Tablecaption"/>
              <w:spacing w:before="0" w:after="0" w:line="240" w:lineRule="auto"/>
            </w:pPr>
            <w:r>
              <w:t>Level;</w:t>
            </w:r>
            <w:r w:rsidR="003A654C">
              <w:t xml:space="preserve"> </w:t>
            </w:r>
            <w:r w:rsidR="00235FD0">
              <w:br/>
            </w:r>
            <w:r w:rsidR="003A654C">
              <w:t>c</w:t>
            </w:r>
            <w:r w:rsidR="003A654C" w:rsidRPr="003A654C">
              <w:t>urrent quarter</w:t>
            </w:r>
          </w:p>
        </w:tc>
        <w:tc>
          <w:tcPr>
            <w:tcW w:w="1701" w:type="dxa"/>
            <w:tcBorders>
              <w:top w:val="single" w:sz="4" w:space="0" w:color="auto"/>
            </w:tcBorders>
            <w:vAlign w:val="center"/>
          </w:tcPr>
          <w:p w:rsidR="00BF7ECA" w:rsidRPr="00BC00F3" w:rsidRDefault="00BF7ECA" w:rsidP="00235FD0">
            <w:pPr>
              <w:pStyle w:val="Tablecaption"/>
              <w:spacing w:before="0" w:after="0" w:line="240" w:lineRule="auto"/>
            </w:pPr>
            <w:r w:rsidRPr="00BF7ECA">
              <w:t>Tendency;</w:t>
            </w:r>
            <w:r w:rsidR="00235FD0">
              <w:br/>
            </w:r>
            <w:r w:rsidR="003A654C">
              <w:t>p</w:t>
            </w:r>
            <w:r w:rsidR="003A654C" w:rsidRPr="00BC00F3">
              <w:t>ast quarter</w:t>
            </w:r>
          </w:p>
        </w:tc>
        <w:tc>
          <w:tcPr>
            <w:tcW w:w="1702" w:type="dxa"/>
            <w:tcBorders>
              <w:top w:val="single" w:sz="4" w:space="0" w:color="auto"/>
            </w:tcBorders>
            <w:vAlign w:val="center"/>
          </w:tcPr>
          <w:p w:rsidR="00BF7ECA" w:rsidRPr="00BC00F3" w:rsidRDefault="00BF7ECA" w:rsidP="00235FD0">
            <w:pPr>
              <w:pStyle w:val="Tablecaption"/>
              <w:spacing w:before="0" w:after="0" w:line="240" w:lineRule="auto"/>
            </w:pPr>
            <w:r>
              <w:t>Expectation</w:t>
            </w:r>
            <w:r w:rsidR="003A654C">
              <w:t>s</w:t>
            </w:r>
            <w:r>
              <w:t>;</w:t>
            </w:r>
            <w:r w:rsidR="003A654C">
              <w:t xml:space="preserve"> </w:t>
            </w:r>
            <w:r w:rsidR="00235FD0">
              <w:br/>
            </w:r>
            <w:r w:rsidR="003A654C">
              <w:t>n</w:t>
            </w:r>
            <w:r w:rsidR="003A654C" w:rsidRPr="003A654C">
              <w:t>ext quarter</w:t>
            </w:r>
          </w:p>
        </w:tc>
      </w:tr>
      <w:tr w:rsidR="003A654C" w:rsidRPr="00235FD0" w:rsidTr="00235FD0">
        <w:trPr>
          <w:trHeight w:val="284"/>
        </w:trPr>
        <w:tc>
          <w:tcPr>
            <w:tcW w:w="3652" w:type="dxa"/>
            <w:tcBorders>
              <w:top w:val="single" w:sz="4" w:space="0" w:color="auto"/>
            </w:tcBorders>
            <w:vAlign w:val="center"/>
          </w:tcPr>
          <w:p w:rsidR="003A654C" w:rsidRPr="00FB0AB7" w:rsidRDefault="003A654C" w:rsidP="00BF7ECA">
            <w:pPr>
              <w:pStyle w:val="Tablecaption"/>
              <w:spacing w:before="0" w:after="0" w:line="240" w:lineRule="auto"/>
              <w:jc w:val="left"/>
              <w:rPr>
                <w:b/>
              </w:rPr>
            </w:pPr>
            <w:r w:rsidRPr="00FB0AB7">
              <w:rPr>
                <w:b/>
              </w:rPr>
              <w:t>Demand</w:t>
            </w:r>
          </w:p>
        </w:tc>
        <w:tc>
          <w:tcPr>
            <w:tcW w:w="1701" w:type="dxa"/>
            <w:tcBorders>
              <w:top w:val="single" w:sz="4" w:space="0" w:color="auto"/>
            </w:tcBorders>
            <w:vAlign w:val="center"/>
          </w:tcPr>
          <w:p w:rsidR="003A654C" w:rsidRDefault="003A654C" w:rsidP="00BF7ECA">
            <w:pPr>
              <w:pStyle w:val="Tablecaption"/>
              <w:spacing w:before="0" w:after="0" w:line="240" w:lineRule="auto"/>
            </w:pPr>
            <w:r>
              <w:t>+</w:t>
            </w:r>
          </w:p>
        </w:tc>
        <w:tc>
          <w:tcPr>
            <w:tcW w:w="1701" w:type="dxa"/>
            <w:tcBorders>
              <w:top w:val="single" w:sz="4" w:space="0" w:color="auto"/>
            </w:tcBorders>
            <w:vAlign w:val="center"/>
          </w:tcPr>
          <w:p w:rsidR="003A654C" w:rsidRDefault="003A654C" w:rsidP="004A25CA">
            <w:pPr>
              <w:pStyle w:val="Tablecaption"/>
              <w:spacing w:before="0" w:after="0" w:line="240" w:lineRule="auto"/>
            </w:pPr>
            <w:r>
              <w:t>+</w:t>
            </w:r>
          </w:p>
        </w:tc>
        <w:tc>
          <w:tcPr>
            <w:tcW w:w="1702" w:type="dxa"/>
            <w:tcBorders>
              <w:top w:val="single" w:sz="4" w:space="0" w:color="auto"/>
            </w:tcBorders>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8D67C5" w:rsidRDefault="003A654C" w:rsidP="00BF7ECA">
            <w:pPr>
              <w:pStyle w:val="Tablecaption"/>
              <w:spacing w:before="0" w:after="0" w:line="240" w:lineRule="auto"/>
              <w:jc w:val="left"/>
            </w:pPr>
            <w:r>
              <w:t>Number of contracts (clients)</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8D67C5" w:rsidRDefault="003A654C" w:rsidP="00BF7ECA">
            <w:pPr>
              <w:pStyle w:val="Tablecaption"/>
              <w:spacing w:before="0" w:after="0" w:line="240" w:lineRule="auto"/>
              <w:jc w:val="left"/>
            </w:pPr>
            <w:r w:rsidRPr="00B83B8D">
              <w:t>V</w:t>
            </w:r>
            <w:r>
              <w:t>olume</w:t>
            </w:r>
            <w:r w:rsidRPr="00B83B8D">
              <w:t xml:space="preserve"> of services</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FB0AB7" w:rsidRDefault="003A654C" w:rsidP="00BF7ECA">
            <w:pPr>
              <w:pStyle w:val="Tablecaption"/>
              <w:spacing w:before="0" w:after="0" w:line="240" w:lineRule="auto"/>
              <w:jc w:val="left"/>
              <w:rPr>
                <w:b/>
              </w:rPr>
            </w:pPr>
            <w:r w:rsidRPr="00FB0AB7">
              <w:rPr>
                <w:b/>
              </w:rPr>
              <w:t>Prices for services</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8D67C5" w:rsidRDefault="003A654C" w:rsidP="00BF7ECA">
            <w:pPr>
              <w:pStyle w:val="Tablecaption"/>
              <w:spacing w:before="0" w:after="0" w:line="240" w:lineRule="auto"/>
              <w:jc w:val="left"/>
            </w:pPr>
            <w:r w:rsidRPr="00B83B8D">
              <w:t>Investment</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8D67C5" w:rsidRDefault="003A654C" w:rsidP="00BF7ECA">
            <w:pPr>
              <w:pStyle w:val="Tablecaption"/>
              <w:spacing w:before="0" w:after="0" w:line="240" w:lineRule="auto"/>
              <w:jc w:val="left"/>
            </w:pPr>
            <w:r w:rsidRPr="00B83B8D">
              <w:t>Costs</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8D67C5" w:rsidRDefault="003A654C" w:rsidP="00BF7ECA">
            <w:pPr>
              <w:pStyle w:val="Tablecaption"/>
              <w:spacing w:before="0" w:after="0" w:line="240" w:lineRule="auto"/>
              <w:jc w:val="left"/>
            </w:pPr>
            <w:r w:rsidRPr="00B83B8D">
              <w:t>Profit</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8D67C5" w:rsidRDefault="003A654C" w:rsidP="00BF7ECA">
            <w:pPr>
              <w:pStyle w:val="Tablecaption"/>
              <w:spacing w:before="0" w:after="0" w:line="240" w:lineRule="auto"/>
              <w:jc w:val="left"/>
            </w:pPr>
            <w:r w:rsidRPr="00B83B8D">
              <w:t>Competitive position on the market</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FB0AB7" w:rsidRDefault="003A654C" w:rsidP="00BF7ECA">
            <w:pPr>
              <w:pStyle w:val="Tablecaption"/>
              <w:spacing w:before="0" w:after="0" w:line="240" w:lineRule="auto"/>
              <w:jc w:val="left"/>
              <w:rPr>
                <w:b/>
              </w:rPr>
            </w:pPr>
            <w:r w:rsidRPr="00FB0AB7">
              <w:rPr>
                <w:b/>
              </w:rPr>
              <w:t>Firm's total employment</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vAlign w:val="center"/>
          </w:tcPr>
          <w:p w:rsidR="003A654C" w:rsidRPr="00FB0AB7" w:rsidRDefault="003A654C" w:rsidP="00BF7ECA">
            <w:pPr>
              <w:pStyle w:val="Tablecaption"/>
              <w:spacing w:before="0" w:after="0" w:line="240" w:lineRule="auto"/>
              <w:jc w:val="left"/>
              <w:rPr>
                <w:b/>
              </w:rPr>
            </w:pPr>
            <w:r w:rsidRPr="00FB0AB7">
              <w:rPr>
                <w:b/>
              </w:rPr>
              <w:t>Business situation</w:t>
            </w:r>
          </w:p>
        </w:tc>
        <w:tc>
          <w:tcPr>
            <w:tcW w:w="1701" w:type="dxa"/>
            <w:vAlign w:val="center"/>
          </w:tcPr>
          <w:p w:rsidR="003A654C" w:rsidRDefault="003A654C" w:rsidP="004A25CA">
            <w:pPr>
              <w:pStyle w:val="Tablecaption"/>
              <w:spacing w:before="0" w:after="0" w:line="240" w:lineRule="auto"/>
            </w:pPr>
            <w:r>
              <w:t>+</w:t>
            </w:r>
          </w:p>
        </w:tc>
        <w:tc>
          <w:tcPr>
            <w:tcW w:w="1701" w:type="dxa"/>
            <w:vAlign w:val="center"/>
          </w:tcPr>
          <w:p w:rsidR="003A654C" w:rsidRDefault="003A654C" w:rsidP="004A25CA">
            <w:pPr>
              <w:pStyle w:val="Tablecaption"/>
              <w:spacing w:before="0" w:after="0" w:line="240" w:lineRule="auto"/>
            </w:pPr>
            <w:r>
              <w:t>+</w:t>
            </w:r>
          </w:p>
        </w:tc>
        <w:tc>
          <w:tcPr>
            <w:tcW w:w="1702" w:type="dxa"/>
            <w:vAlign w:val="center"/>
          </w:tcPr>
          <w:p w:rsidR="003A654C" w:rsidRDefault="003A654C" w:rsidP="004A25CA">
            <w:pPr>
              <w:pStyle w:val="Tablecaption"/>
              <w:spacing w:before="0" w:after="0" w:line="240" w:lineRule="auto"/>
            </w:pPr>
            <w:r>
              <w:t>+</w:t>
            </w:r>
          </w:p>
        </w:tc>
      </w:tr>
      <w:tr w:rsidR="003A654C" w:rsidRPr="00A134F1" w:rsidTr="00235FD0">
        <w:trPr>
          <w:trHeight w:val="284"/>
        </w:trPr>
        <w:tc>
          <w:tcPr>
            <w:tcW w:w="3652" w:type="dxa"/>
            <w:tcBorders>
              <w:bottom w:val="single" w:sz="4" w:space="0" w:color="auto"/>
            </w:tcBorders>
            <w:vAlign w:val="center"/>
          </w:tcPr>
          <w:p w:rsidR="003A654C" w:rsidRPr="001A1005" w:rsidRDefault="003A654C" w:rsidP="00BF7ECA">
            <w:pPr>
              <w:pStyle w:val="Tablecaption"/>
              <w:spacing w:before="0" w:after="0" w:line="240" w:lineRule="auto"/>
              <w:jc w:val="left"/>
              <w:rPr>
                <w:b/>
              </w:rPr>
            </w:pPr>
            <w:r w:rsidRPr="001A1005">
              <w:rPr>
                <w:b/>
              </w:rPr>
              <w:t>Main factors currently limiting business:</w:t>
            </w:r>
          </w:p>
          <w:p w:rsidR="003A654C" w:rsidRDefault="003A654C" w:rsidP="00BF7ECA">
            <w:pPr>
              <w:pStyle w:val="Tablecaption"/>
              <w:spacing w:before="0" w:after="60" w:line="240" w:lineRule="auto"/>
              <w:jc w:val="left"/>
            </w:pPr>
            <w:r>
              <w:t>insufficient demand;</w:t>
            </w:r>
          </w:p>
          <w:p w:rsidR="003A654C" w:rsidRDefault="003A654C" w:rsidP="00BF7ECA">
            <w:pPr>
              <w:pStyle w:val="Tablecaption"/>
              <w:spacing w:before="0" w:after="60" w:line="240" w:lineRule="auto"/>
              <w:jc w:val="left"/>
            </w:pPr>
            <w:r>
              <w:t>shortage of space and/or equipment;</w:t>
            </w:r>
          </w:p>
          <w:p w:rsidR="003A654C" w:rsidRDefault="003A654C" w:rsidP="00BF7ECA">
            <w:pPr>
              <w:pStyle w:val="Tablecaption"/>
              <w:spacing w:before="0" w:after="60" w:line="240" w:lineRule="auto"/>
              <w:jc w:val="left"/>
            </w:pPr>
            <w:r>
              <w:t>high taxation level;</w:t>
            </w:r>
          </w:p>
          <w:p w:rsidR="003A654C" w:rsidRDefault="003A654C" w:rsidP="00BF7ECA">
            <w:pPr>
              <w:pStyle w:val="Tablecaption"/>
              <w:spacing w:before="0" w:after="60" w:line="240" w:lineRule="auto"/>
              <w:jc w:val="left"/>
            </w:pPr>
            <w:r>
              <w:t>financial constraints;</w:t>
            </w:r>
          </w:p>
          <w:p w:rsidR="003A654C" w:rsidRDefault="003A654C" w:rsidP="00BF7ECA">
            <w:pPr>
              <w:pStyle w:val="Tablecaption"/>
              <w:spacing w:before="0" w:after="60" w:line="240" w:lineRule="auto"/>
              <w:jc w:val="left"/>
            </w:pPr>
            <w:r w:rsidRPr="00B31393">
              <w:t>high cost of renting premises</w:t>
            </w:r>
            <w:r>
              <w:t>;</w:t>
            </w:r>
          </w:p>
          <w:p w:rsidR="003A654C" w:rsidRDefault="003A654C" w:rsidP="00BF7ECA">
            <w:pPr>
              <w:pStyle w:val="Tablecaption"/>
              <w:spacing w:before="0" w:after="60" w:line="240" w:lineRule="auto"/>
              <w:jc w:val="left"/>
            </w:pPr>
            <w:r>
              <w:t xml:space="preserve">unfair competition from other </w:t>
            </w:r>
            <w:r w:rsidRPr="00515F0C">
              <w:rPr>
                <w:lang w:val="en-GB"/>
              </w:rPr>
              <w:t>organisations</w:t>
            </w:r>
            <w:r>
              <w:t xml:space="preserve"> in the market;</w:t>
            </w:r>
          </w:p>
          <w:p w:rsidR="003A654C" w:rsidRDefault="003A654C" w:rsidP="00BF7ECA">
            <w:pPr>
              <w:pStyle w:val="Tablecaption"/>
              <w:spacing w:before="0" w:after="60" w:line="240" w:lineRule="auto"/>
              <w:jc w:val="left"/>
            </w:pPr>
            <w:r>
              <w:t xml:space="preserve">shortage of </w:t>
            </w:r>
            <w:r w:rsidRPr="00515F0C">
              <w:rPr>
                <w:lang w:val="en-GB"/>
              </w:rPr>
              <w:t>labour</w:t>
            </w:r>
            <w:r>
              <w:t xml:space="preserve"> force;</w:t>
            </w:r>
          </w:p>
          <w:p w:rsidR="003A654C" w:rsidRDefault="003A654C" w:rsidP="00BF7ECA">
            <w:pPr>
              <w:pStyle w:val="Tablecaption"/>
              <w:spacing w:before="0" w:after="60" w:line="240" w:lineRule="auto"/>
              <w:jc w:val="left"/>
            </w:pPr>
            <w:r>
              <w:t>high percentage of commercial loan;</w:t>
            </w:r>
          </w:p>
          <w:p w:rsidR="003A654C" w:rsidRDefault="003A654C" w:rsidP="00BF7ECA">
            <w:pPr>
              <w:pStyle w:val="Tablecaption"/>
              <w:spacing w:before="0" w:after="60" w:line="240" w:lineRule="auto"/>
              <w:jc w:val="left"/>
            </w:pPr>
            <w:r>
              <w:t>inadequate legal and regulatory framework;</w:t>
            </w:r>
          </w:p>
          <w:p w:rsidR="003A654C" w:rsidRPr="008D67C5" w:rsidRDefault="003A654C" w:rsidP="00BF7ECA">
            <w:pPr>
              <w:pStyle w:val="Tablecaption"/>
              <w:spacing w:before="0" w:after="0" w:line="240" w:lineRule="auto"/>
              <w:jc w:val="left"/>
            </w:pPr>
            <w:r>
              <w:t>corruption of authorities</w:t>
            </w:r>
          </w:p>
        </w:tc>
        <w:tc>
          <w:tcPr>
            <w:tcW w:w="1701" w:type="dxa"/>
            <w:tcBorders>
              <w:bottom w:val="single" w:sz="4" w:space="0" w:color="auto"/>
            </w:tcBorders>
            <w:vAlign w:val="center"/>
          </w:tcPr>
          <w:p w:rsidR="003A654C" w:rsidRDefault="003A654C" w:rsidP="004A25CA">
            <w:pPr>
              <w:pStyle w:val="Tablecaption"/>
              <w:spacing w:before="0" w:after="0" w:line="240" w:lineRule="auto"/>
            </w:pPr>
            <w:r>
              <w:t>+</w:t>
            </w:r>
          </w:p>
        </w:tc>
        <w:tc>
          <w:tcPr>
            <w:tcW w:w="1701" w:type="dxa"/>
            <w:tcBorders>
              <w:bottom w:val="single" w:sz="4" w:space="0" w:color="auto"/>
            </w:tcBorders>
            <w:vAlign w:val="center"/>
          </w:tcPr>
          <w:p w:rsidR="003A654C" w:rsidRPr="00BC00F3" w:rsidRDefault="003A654C" w:rsidP="00BF7ECA">
            <w:pPr>
              <w:pStyle w:val="Tablecaption"/>
              <w:spacing w:before="0" w:after="0" w:line="240" w:lineRule="auto"/>
            </w:pPr>
            <w:r>
              <w:t>-</w:t>
            </w:r>
          </w:p>
        </w:tc>
        <w:tc>
          <w:tcPr>
            <w:tcW w:w="1702" w:type="dxa"/>
            <w:tcBorders>
              <w:bottom w:val="single" w:sz="4" w:space="0" w:color="auto"/>
            </w:tcBorders>
            <w:vAlign w:val="center"/>
          </w:tcPr>
          <w:p w:rsidR="003A654C" w:rsidRPr="00BC00F3" w:rsidRDefault="003A654C" w:rsidP="00BF7ECA">
            <w:pPr>
              <w:pStyle w:val="Tablecaption"/>
              <w:spacing w:before="0" w:after="0" w:line="240" w:lineRule="auto"/>
            </w:pPr>
            <w:r>
              <w:t>-</w:t>
            </w:r>
          </w:p>
        </w:tc>
      </w:tr>
    </w:tbl>
    <w:p w:rsidR="00A403A3" w:rsidRPr="00787774" w:rsidRDefault="00A403A3" w:rsidP="00ED1277">
      <w:pPr>
        <w:spacing w:line="360" w:lineRule="auto"/>
        <w:ind w:left="142" w:firstLine="709"/>
        <w:jc w:val="both"/>
        <w:rPr>
          <w:rFonts w:ascii="Times New Roman" w:eastAsia="Times New Roman" w:hAnsi="Times New Roman" w:cs="Times New Roman"/>
          <w:sz w:val="24"/>
          <w:szCs w:val="24"/>
          <w:lang w:val="en-US" w:eastAsia="ru-RU"/>
        </w:rPr>
      </w:pPr>
    </w:p>
    <w:sectPr w:rsidR="00A403A3" w:rsidRPr="00787774">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26E" w:rsidRDefault="000C126E" w:rsidP="00B1798D">
      <w:pPr>
        <w:spacing w:after="0" w:line="240" w:lineRule="auto"/>
      </w:pPr>
      <w:r>
        <w:separator/>
      </w:r>
    </w:p>
  </w:endnote>
  <w:endnote w:type="continuationSeparator" w:id="0">
    <w:p w:rsidR="000C126E" w:rsidRDefault="000C126E" w:rsidP="00B1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Cond">
    <w:altName w:val="Times New Roman"/>
    <w:charset w:val="CC"/>
    <w:family w:val="auto"/>
    <w:pitch w:val="variable"/>
    <w:sig w:usb0="00000001" w:usb1="00000000" w:usb2="00000000" w:usb3="00000000" w:csb0="00000005" w:csb1="00000000"/>
  </w:font>
  <w:font w:name="OfficinaSansCTT">
    <w:altName w:val="Times New Roman"/>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39796"/>
      <w:docPartObj>
        <w:docPartGallery w:val="Page Numbers (Bottom of Page)"/>
        <w:docPartUnique/>
      </w:docPartObj>
    </w:sdtPr>
    <w:sdtEndPr/>
    <w:sdtContent>
      <w:p w:rsidR="00BF7ECA" w:rsidRDefault="00BF7ECA">
        <w:pPr>
          <w:pStyle w:val="ac"/>
          <w:jc w:val="center"/>
        </w:pPr>
        <w:r>
          <w:fldChar w:fldCharType="begin"/>
        </w:r>
        <w:r>
          <w:instrText>PAGE   \* MERGEFORMAT</w:instrText>
        </w:r>
        <w:r>
          <w:fldChar w:fldCharType="separate"/>
        </w:r>
        <w:r w:rsidR="0010542A">
          <w:rPr>
            <w:noProof/>
          </w:rPr>
          <w:t>1</w:t>
        </w:r>
        <w:r>
          <w:fldChar w:fldCharType="end"/>
        </w:r>
      </w:p>
    </w:sdtContent>
  </w:sdt>
  <w:p w:rsidR="00BF7ECA" w:rsidRDefault="00BF7E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26E" w:rsidRDefault="000C126E" w:rsidP="00B1798D">
      <w:pPr>
        <w:spacing w:after="0" w:line="240" w:lineRule="auto"/>
      </w:pPr>
      <w:r>
        <w:separator/>
      </w:r>
    </w:p>
  </w:footnote>
  <w:footnote w:type="continuationSeparator" w:id="0">
    <w:p w:rsidR="000C126E" w:rsidRDefault="000C126E" w:rsidP="00B1798D">
      <w:pPr>
        <w:spacing w:after="0" w:line="240" w:lineRule="auto"/>
      </w:pPr>
      <w:r>
        <w:continuationSeparator/>
      </w:r>
    </w:p>
  </w:footnote>
  <w:footnote w:id="1">
    <w:p w:rsidR="00BF7ECA" w:rsidRPr="00CA1C69" w:rsidRDefault="00BF7ECA">
      <w:pPr>
        <w:pStyle w:val="a4"/>
        <w:rPr>
          <w:rFonts w:ascii="Times New Roman" w:hAnsi="Times New Roman" w:cs="Times New Roman"/>
          <w:lang w:val="en-US"/>
        </w:rPr>
      </w:pPr>
      <w:r w:rsidRPr="00CA1C69">
        <w:rPr>
          <w:rStyle w:val="a6"/>
          <w:rFonts w:ascii="Times New Roman" w:hAnsi="Times New Roman" w:cs="Times New Roman"/>
        </w:rPr>
        <w:footnoteRef/>
      </w:r>
      <w:r w:rsidRPr="00CA1C69">
        <w:rPr>
          <w:rFonts w:ascii="Times New Roman" w:hAnsi="Times New Roman" w:cs="Times New Roman"/>
          <w:lang w:val="en-US"/>
        </w:rPr>
        <w:t xml:space="preserve"> Higher School of Economics, Institute for Statistical Studies and Economics of Knowledge, Centre for Business Tendency Studies, Moscow, Russian Federation; tlipkind@hse.ru. </w:t>
      </w:r>
      <w:r w:rsidRPr="00CA1C69">
        <w:rPr>
          <w:rFonts w:ascii="Times New Roman" w:hAnsi="Times New Roman" w:cs="Times New Roman"/>
          <w:lang w:val="en-US"/>
        </w:rPr>
        <w:br/>
        <w:t>The paper prepared within the framework of the Basic Research Program at the National Research University Higher School of Economics (HSE) and supported within the framework of a subsidy by the Russian Academic Excellence Project '5-100'.</w:t>
      </w:r>
    </w:p>
  </w:footnote>
  <w:footnote w:id="2">
    <w:p w:rsidR="0010461E" w:rsidRPr="0010461E" w:rsidRDefault="0010461E" w:rsidP="0010461E">
      <w:pPr>
        <w:pStyle w:val="a4"/>
        <w:jc w:val="both"/>
        <w:rPr>
          <w:rFonts w:ascii="Times New Roman" w:hAnsi="Times New Roman" w:cs="Times New Roman"/>
          <w:lang w:val="en-US"/>
        </w:rPr>
      </w:pPr>
      <w:r w:rsidRPr="0010461E">
        <w:rPr>
          <w:rStyle w:val="a6"/>
          <w:rFonts w:ascii="Times New Roman" w:hAnsi="Times New Roman" w:cs="Times New Roman"/>
        </w:rPr>
        <w:footnoteRef/>
      </w:r>
      <w:r w:rsidRPr="0010461E">
        <w:rPr>
          <w:rFonts w:ascii="Times New Roman" w:hAnsi="Times New Roman" w:cs="Times New Roman"/>
          <w:lang w:val="en-US"/>
        </w:rPr>
        <w:t xml:space="preserve"> </w:t>
      </w:r>
      <w:r w:rsidRPr="0010461E">
        <w:rPr>
          <w:rFonts w:ascii="Times New Roman" w:hAnsi="Times New Roman" w:cs="Times New Roman"/>
          <w:color w:val="000000"/>
          <w:lang w:val="en-US"/>
        </w:rPr>
        <w:t xml:space="preserve">The </w:t>
      </w:r>
      <w:r>
        <w:rPr>
          <w:rFonts w:ascii="Times New Roman" w:hAnsi="Times New Roman" w:cs="Times New Roman"/>
          <w:color w:val="000000"/>
          <w:lang w:val="en-US"/>
        </w:rPr>
        <w:t xml:space="preserve">Russian BTS program </w:t>
      </w:r>
      <w:proofErr w:type="gramStart"/>
      <w:r w:rsidRPr="0010461E">
        <w:rPr>
          <w:rFonts w:ascii="Times New Roman" w:hAnsi="Times New Roman" w:cs="Times New Roman"/>
          <w:color w:val="000000"/>
          <w:lang w:val="en-US"/>
        </w:rPr>
        <w:t>was launched</w:t>
      </w:r>
      <w:proofErr w:type="gramEnd"/>
      <w:r w:rsidRPr="0010461E">
        <w:rPr>
          <w:rFonts w:ascii="Times New Roman" w:hAnsi="Times New Roman" w:cs="Times New Roman"/>
          <w:color w:val="000000"/>
          <w:lang w:val="en-US"/>
        </w:rPr>
        <w:t xml:space="preserve"> in the early 1990s</w:t>
      </w:r>
      <w:r>
        <w:rPr>
          <w:rFonts w:ascii="Times New Roman" w:hAnsi="Times New Roman" w:cs="Times New Roman"/>
          <w:color w:val="000000"/>
          <w:lang w:val="en-US"/>
        </w:rPr>
        <w:t>; m</w:t>
      </w:r>
      <w:r w:rsidRPr="0010461E">
        <w:rPr>
          <w:rFonts w:ascii="Times New Roman" w:hAnsi="Times New Roman" w:cs="Times New Roman"/>
          <w:color w:val="000000"/>
          <w:lang w:val="en-US"/>
        </w:rPr>
        <w:t xml:space="preserve">ethodology was developed </w:t>
      </w:r>
      <w:r>
        <w:rPr>
          <w:rFonts w:ascii="Times New Roman" w:hAnsi="Times New Roman" w:cs="Times New Roman"/>
          <w:color w:val="000000"/>
          <w:lang w:val="en-US"/>
        </w:rPr>
        <w:t xml:space="preserve">according to </w:t>
      </w:r>
      <w:r w:rsidRPr="0010461E">
        <w:rPr>
          <w:rFonts w:ascii="Times New Roman" w:hAnsi="Times New Roman" w:cs="Times New Roman"/>
          <w:color w:val="000000"/>
          <w:lang w:val="en-US"/>
        </w:rPr>
        <w:t xml:space="preserve">the Joint </w:t>
      </w:r>
      <w:r w:rsidRPr="0010461E">
        <w:rPr>
          <w:rFonts w:ascii="Times New Roman" w:hAnsi="Times New Roman" w:cs="Times New Roman"/>
          <w:color w:val="000000"/>
          <w:lang w:val="en-GB"/>
        </w:rPr>
        <w:t>Harmonised</w:t>
      </w:r>
      <w:r w:rsidRPr="0010461E">
        <w:rPr>
          <w:rFonts w:ascii="Times New Roman" w:hAnsi="Times New Roman" w:cs="Times New Roman"/>
          <w:color w:val="000000"/>
          <w:lang w:val="en-US"/>
        </w:rPr>
        <w:t xml:space="preserve"> EU </w:t>
      </w:r>
      <w:r w:rsidRPr="0010461E">
        <w:rPr>
          <w:rFonts w:ascii="Times New Roman" w:hAnsi="Times New Roman" w:cs="Times New Roman"/>
          <w:color w:val="000000"/>
          <w:lang w:val="en-GB"/>
        </w:rPr>
        <w:t>Programme</w:t>
      </w:r>
      <w:r w:rsidRPr="0010461E">
        <w:rPr>
          <w:rFonts w:ascii="Times New Roman" w:hAnsi="Times New Roman" w:cs="Times New Roman"/>
          <w:color w:val="000000"/>
          <w:lang w:val="en-US"/>
        </w:rPr>
        <w:t xml:space="preserve"> of Business and Consumer Surveys under the </w:t>
      </w:r>
      <w:proofErr w:type="spellStart"/>
      <w:r w:rsidRPr="0010461E">
        <w:rPr>
          <w:rFonts w:ascii="Times New Roman" w:hAnsi="Times New Roman" w:cs="Times New Roman"/>
          <w:color w:val="000000"/>
          <w:lang w:val="en-US"/>
        </w:rPr>
        <w:t>Tasic</w:t>
      </w:r>
      <w:proofErr w:type="spellEnd"/>
      <w:r w:rsidRPr="0010461E">
        <w:rPr>
          <w:rFonts w:ascii="Times New Roman" w:hAnsi="Times New Roman" w:cs="Times New Roman"/>
          <w:color w:val="000000"/>
          <w:lang w:val="en-US"/>
        </w:rPr>
        <w:t xml:space="preserve"> </w:t>
      </w:r>
      <w:r>
        <w:rPr>
          <w:rFonts w:ascii="Times New Roman" w:hAnsi="Times New Roman" w:cs="Times New Roman"/>
          <w:color w:val="000000"/>
          <w:lang w:val="en-US"/>
        </w:rPr>
        <w:t>program (</w:t>
      </w:r>
      <w:r w:rsidRPr="0010461E">
        <w:rPr>
          <w:rFonts w:ascii="Times New Roman" w:hAnsi="Times New Roman" w:cs="Times New Roman"/>
          <w:lang w:val="en-US"/>
        </w:rPr>
        <w:t>Technical assistance to the Commonwealth of Independent States</w:t>
      </w:r>
      <w:r>
        <w:rPr>
          <w:rFonts w:ascii="Times New Roman" w:hAnsi="Times New Roman" w:cs="Times New Roman"/>
          <w:lang w:val="en-US"/>
        </w:rPr>
        <w:t>)</w:t>
      </w:r>
      <w:r w:rsidRPr="0010461E">
        <w:rPr>
          <w:rFonts w:ascii="Times New Roman" w:hAnsi="Times New Roman" w:cs="Times New Roman"/>
          <w:lang w:val="en-US"/>
        </w:rPr>
        <w:t xml:space="preserve">. Invaluable support to developing the Russian BTS system was provided by the Statistics Directorate of Organization for Economic Cooperation and Development (OECD) and Ronny Nilsson personally; Directorate-General for Economic and Financial Affairs of the European Commission; Centre for International Research on Economic Tendency Surveys (CIRET); the </w:t>
      </w:r>
      <w:proofErr w:type="spellStart"/>
      <w:r w:rsidRPr="0010461E">
        <w:rPr>
          <w:rFonts w:ascii="Times New Roman" w:hAnsi="Times New Roman" w:cs="Times New Roman"/>
          <w:lang w:val="en-US"/>
        </w:rPr>
        <w:t>ifo</w:t>
      </w:r>
      <w:proofErr w:type="spellEnd"/>
      <w:r w:rsidRPr="0010461E">
        <w:rPr>
          <w:rFonts w:ascii="Times New Roman" w:hAnsi="Times New Roman" w:cs="Times New Roman"/>
          <w:lang w:val="en-US"/>
        </w:rPr>
        <w:t xml:space="preserve">-Institute (Germany); and the </w:t>
      </w:r>
      <w:proofErr w:type="spellStart"/>
      <w:r w:rsidRPr="0010461E">
        <w:rPr>
          <w:rFonts w:ascii="Times New Roman" w:hAnsi="Times New Roman" w:cs="Times New Roman"/>
          <w:lang w:val="en-US"/>
        </w:rPr>
        <w:t>Observatoire</w:t>
      </w:r>
      <w:proofErr w:type="spellEnd"/>
      <w:r w:rsidRPr="0010461E">
        <w:rPr>
          <w:rFonts w:ascii="Times New Roman" w:hAnsi="Times New Roman" w:cs="Times New Roman"/>
          <w:lang w:val="en-US"/>
        </w:rPr>
        <w:t xml:space="preserve"> </w:t>
      </w:r>
      <w:proofErr w:type="spellStart"/>
      <w:r w:rsidRPr="0010461E">
        <w:rPr>
          <w:rFonts w:ascii="Times New Roman" w:hAnsi="Times New Roman" w:cs="Times New Roman"/>
          <w:lang w:val="en-US"/>
        </w:rPr>
        <w:t>Français</w:t>
      </w:r>
      <w:proofErr w:type="spellEnd"/>
      <w:r w:rsidRPr="0010461E">
        <w:rPr>
          <w:rFonts w:ascii="Times New Roman" w:hAnsi="Times New Roman" w:cs="Times New Roman"/>
          <w:lang w:val="en-US"/>
        </w:rPr>
        <w:t xml:space="preserve"> des </w:t>
      </w:r>
      <w:proofErr w:type="spellStart"/>
      <w:r w:rsidRPr="0010461E">
        <w:rPr>
          <w:rFonts w:ascii="Times New Roman" w:hAnsi="Times New Roman" w:cs="Times New Roman"/>
          <w:lang w:val="en-US"/>
        </w:rPr>
        <w:t>Conjonctures</w:t>
      </w:r>
      <w:proofErr w:type="spellEnd"/>
      <w:r w:rsidRPr="0010461E">
        <w:rPr>
          <w:rFonts w:ascii="Times New Roman" w:hAnsi="Times New Roman" w:cs="Times New Roman"/>
          <w:lang w:val="en-US"/>
        </w:rPr>
        <w:t xml:space="preserve"> </w:t>
      </w:r>
      <w:proofErr w:type="spellStart"/>
      <w:r w:rsidRPr="0010461E">
        <w:rPr>
          <w:rFonts w:ascii="Times New Roman" w:hAnsi="Times New Roman" w:cs="Times New Roman"/>
          <w:lang w:val="en-US"/>
        </w:rPr>
        <w:t>Économiques</w:t>
      </w:r>
      <w:proofErr w:type="spellEnd"/>
      <w:r w:rsidRPr="0010461E">
        <w:rPr>
          <w:rFonts w:ascii="Times New Roman" w:hAnsi="Times New Roman" w:cs="Times New Roman"/>
          <w:lang w:val="en-US"/>
        </w:rPr>
        <w:t xml:space="preserve"> (OFCE, France).</w:t>
      </w:r>
    </w:p>
  </w:footnote>
  <w:footnote w:id="3">
    <w:p w:rsidR="007F7E8D" w:rsidRPr="007F7E8D" w:rsidRDefault="007F7E8D">
      <w:pPr>
        <w:pStyle w:val="a4"/>
        <w:rPr>
          <w:rFonts w:ascii="Times New Roman" w:hAnsi="Times New Roman" w:cs="Times New Roman"/>
          <w:lang w:val="en-US"/>
        </w:rPr>
      </w:pPr>
      <w:r w:rsidRPr="007F7E8D">
        <w:rPr>
          <w:rStyle w:val="a6"/>
          <w:rFonts w:ascii="Times New Roman" w:hAnsi="Times New Roman" w:cs="Times New Roman"/>
        </w:rPr>
        <w:footnoteRef/>
      </w:r>
      <w:r w:rsidRPr="007F7E8D">
        <w:rPr>
          <w:rFonts w:ascii="Times New Roman" w:hAnsi="Times New Roman" w:cs="Times New Roman"/>
          <w:lang w:val="en-US"/>
        </w:rPr>
        <w:t xml:space="preserve"> In 2017, a new classification version compatible with the NACE Rev. 2.0 </w:t>
      </w:r>
      <w:proofErr w:type="gramStart"/>
      <w:r w:rsidRPr="007F7E8D">
        <w:rPr>
          <w:rFonts w:ascii="Times New Roman" w:hAnsi="Times New Roman" w:cs="Times New Roman"/>
          <w:lang w:val="en-US"/>
        </w:rPr>
        <w:t>was implemented</w:t>
      </w:r>
      <w:proofErr w:type="gramEnd"/>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712" w:hanging="360"/>
      </w:pPr>
      <w:rPr>
        <w:rFonts w:ascii="Symbol" w:hAnsi="Symbol" w:cs="Symbol" w:hint="default"/>
        <w:spacing w:val="-2"/>
      </w:rPr>
    </w:lvl>
  </w:abstractNum>
  <w:abstractNum w:abstractNumId="1">
    <w:nsid w:val="1C063DF6"/>
    <w:multiLevelType w:val="hybridMultilevel"/>
    <w:tmpl w:val="84D0BA98"/>
    <w:lvl w:ilvl="0" w:tplc="D20EE5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2F60E2"/>
    <w:multiLevelType w:val="hybridMultilevel"/>
    <w:tmpl w:val="384C26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43086D"/>
    <w:multiLevelType w:val="hybridMultilevel"/>
    <w:tmpl w:val="89ACF0EE"/>
    <w:lvl w:ilvl="0" w:tplc="F8043FCC">
      <w:start w:val="1"/>
      <w:numFmt w:val="decimal"/>
      <w:lvlText w:val="Рисунок %1"/>
      <w:lvlJc w:val="left"/>
      <w:pPr>
        <w:tabs>
          <w:tab w:val="num" w:pos="-70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A41F72"/>
    <w:multiLevelType w:val="hybridMultilevel"/>
    <w:tmpl w:val="3B4E6926"/>
    <w:lvl w:ilvl="0" w:tplc="9F201E0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3831F3B"/>
    <w:multiLevelType w:val="hybridMultilevel"/>
    <w:tmpl w:val="929010EA"/>
    <w:lvl w:ilvl="0" w:tplc="D20EE56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59EE4775"/>
    <w:multiLevelType w:val="hybridMultilevel"/>
    <w:tmpl w:val="39168CC0"/>
    <w:lvl w:ilvl="0" w:tplc="D20EE5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EF845D2"/>
    <w:multiLevelType w:val="hybridMultilevel"/>
    <w:tmpl w:val="1708D8AE"/>
    <w:lvl w:ilvl="0" w:tplc="152A5B5A">
      <w:start w:val="1"/>
      <w:numFmt w:val="decimal"/>
      <w:pStyle w:val="References"/>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7"/>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C1"/>
    <w:rsid w:val="000018A2"/>
    <w:rsid w:val="00010384"/>
    <w:rsid w:val="00011608"/>
    <w:rsid w:val="0001428B"/>
    <w:rsid w:val="00071898"/>
    <w:rsid w:val="000A7D1C"/>
    <w:rsid w:val="000B1371"/>
    <w:rsid w:val="000C118A"/>
    <w:rsid w:val="000C126E"/>
    <w:rsid w:val="000C2555"/>
    <w:rsid w:val="000D3318"/>
    <w:rsid w:val="000E402A"/>
    <w:rsid w:val="000E4F47"/>
    <w:rsid w:val="000E55B6"/>
    <w:rsid w:val="000E7450"/>
    <w:rsid w:val="001019F4"/>
    <w:rsid w:val="0010461E"/>
    <w:rsid w:val="0010542A"/>
    <w:rsid w:val="0011164B"/>
    <w:rsid w:val="001147F1"/>
    <w:rsid w:val="00124A56"/>
    <w:rsid w:val="001252F9"/>
    <w:rsid w:val="00134B17"/>
    <w:rsid w:val="0013747C"/>
    <w:rsid w:val="00160C8E"/>
    <w:rsid w:val="00170909"/>
    <w:rsid w:val="001733A1"/>
    <w:rsid w:val="001757CF"/>
    <w:rsid w:val="0017692E"/>
    <w:rsid w:val="00190481"/>
    <w:rsid w:val="00194645"/>
    <w:rsid w:val="001A0C56"/>
    <w:rsid w:val="001A5439"/>
    <w:rsid w:val="001A6B77"/>
    <w:rsid w:val="001B2F25"/>
    <w:rsid w:val="001D2F2D"/>
    <w:rsid w:val="001D429D"/>
    <w:rsid w:val="001D791A"/>
    <w:rsid w:val="001E4A4D"/>
    <w:rsid w:val="001F0959"/>
    <w:rsid w:val="001F19AE"/>
    <w:rsid w:val="00221BEC"/>
    <w:rsid w:val="00234CA5"/>
    <w:rsid w:val="00234CE9"/>
    <w:rsid w:val="00235FD0"/>
    <w:rsid w:val="00246AF2"/>
    <w:rsid w:val="00280E09"/>
    <w:rsid w:val="00287150"/>
    <w:rsid w:val="002A1384"/>
    <w:rsid w:val="002A25B7"/>
    <w:rsid w:val="002B017B"/>
    <w:rsid w:val="002C57D8"/>
    <w:rsid w:val="002D1EBB"/>
    <w:rsid w:val="002D45F2"/>
    <w:rsid w:val="002E5860"/>
    <w:rsid w:val="002F007D"/>
    <w:rsid w:val="002F7B6A"/>
    <w:rsid w:val="003019FD"/>
    <w:rsid w:val="00303ACF"/>
    <w:rsid w:val="003155E6"/>
    <w:rsid w:val="003163F2"/>
    <w:rsid w:val="0034555A"/>
    <w:rsid w:val="00361C11"/>
    <w:rsid w:val="00376848"/>
    <w:rsid w:val="00392F1A"/>
    <w:rsid w:val="00397A56"/>
    <w:rsid w:val="003A2EB0"/>
    <w:rsid w:val="003A654C"/>
    <w:rsid w:val="003B120A"/>
    <w:rsid w:val="003B351F"/>
    <w:rsid w:val="003C0178"/>
    <w:rsid w:val="003C6A1F"/>
    <w:rsid w:val="003C765F"/>
    <w:rsid w:val="003D0A54"/>
    <w:rsid w:val="003D5902"/>
    <w:rsid w:val="003F361F"/>
    <w:rsid w:val="003F6CA2"/>
    <w:rsid w:val="0040019D"/>
    <w:rsid w:val="00407C4D"/>
    <w:rsid w:val="00434EBF"/>
    <w:rsid w:val="00437151"/>
    <w:rsid w:val="00454965"/>
    <w:rsid w:val="004577CA"/>
    <w:rsid w:val="00457CF6"/>
    <w:rsid w:val="00465A7F"/>
    <w:rsid w:val="004775C6"/>
    <w:rsid w:val="00477DBF"/>
    <w:rsid w:val="00493029"/>
    <w:rsid w:val="004A1F14"/>
    <w:rsid w:val="004A3492"/>
    <w:rsid w:val="004C288C"/>
    <w:rsid w:val="004D6EE2"/>
    <w:rsid w:val="004E5E4B"/>
    <w:rsid w:val="004E69F4"/>
    <w:rsid w:val="004F27E5"/>
    <w:rsid w:val="004F673A"/>
    <w:rsid w:val="00510C6E"/>
    <w:rsid w:val="00511C22"/>
    <w:rsid w:val="00544B2B"/>
    <w:rsid w:val="00551709"/>
    <w:rsid w:val="0055555F"/>
    <w:rsid w:val="005567A0"/>
    <w:rsid w:val="00560B4E"/>
    <w:rsid w:val="00566E48"/>
    <w:rsid w:val="00577AC5"/>
    <w:rsid w:val="00583052"/>
    <w:rsid w:val="005845B1"/>
    <w:rsid w:val="005A13E5"/>
    <w:rsid w:val="005A2265"/>
    <w:rsid w:val="005B62C8"/>
    <w:rsid w:val="005B71F9"/>
    <w:rsid w:val="005B7F7B"/>
    <w:rsid w:val="005C08B3"/>
    <w:rsid w:val="005C151B"/>
    <w:rsid w:val="005D52AE"/>
    <w:rsid w:val="005D67D7"/>
    <w:rsid w:val="005E00F4"/>
    <w:rsid w:val="005F1494"/>
    <w:rsid w:val="005F2BDF"/>
    <w:rsid w:val="0060023C"/>
    <w:rsid w:val="00600998"/>
    <w:rsid w:val="00601233"/>
    <w:rsid w:val="0061790E"/>
    <w:rsid w:val="00647274"/>
    <w:rsid w:val="0065203C"/>
    <w:rsid w:val="00660CC3"/>
    <w:rsid w:val="00671512"/>
    <w:rsid w:val="00674241"/>
    <w:rsid w:val="00684B8C"/>
    <w:rsid w:val="006853C3"/>
    <w:rsid w:val="0069679F"/>
    <w:rsid w:val="006A123B"/>
    <w:rsid w:val="006A2DB5"/>
    <w:rsid w:val="006C20F2"/>
    <w:rsid w:val="006D08DC"/>
    <w:rsid w:val="006E5820"/>
    <w:rsid w:val="006F512A"/>
    <w:rsid w:val="00701C01"/>
    <w:rsid w:val="00704D25"/>
    <w:rsid w:val="00704E4E"/>
    <w:rsid w:val="00706A2B"/>
    <w:rsid w:val="00710398"/>
    <w:rsid w:val="00714F65"/>
    <w:rsid w:val="007324B9"/>
    <w:rsid w:val="007332EA"/>
    <w:rsid w:val="00747C1D"/>
    <w:rsid w:val="00761A41"/>
    <w:rsid w:val="00761ADB"/>
    <w:rsid w:val="007709C8"/>
    <w:rsid w:val="00770D58"/>
    <w:rsid w:val="00772916"/>
    <w:rsid w:val="00783910"/>
    <w:rsid w:val="00786594"/>
    <w:rsid w:val="00786C06"/>
    <w:rsid w:val="00787774"/>
    <w:rsid w:val="00792976"/>
    <w:rsid w:val="007B0AFF"/>
    <w:rsid w:val="007B6962"/>
    <w:rsid w:val="007C35FA"/>
    <w:rsid w:val="007C6CFE"/>
    <w:rsid w:val="007C7FFE"/>
    <w:rsid w:val="007D3EAD"/>
    <w:rsid w:val="007D7BBE"/>
    <w:rsid w:val="007E52ED"/>
    <w:rsid w:val="007E5683"/>
    <w:rsid w:val="007F0FC2"/>
    <w:rsid w:val="007F7E8D"/>
    <w:rsid w:val="008061B7"/>
    <w:rsid w:val="00810433"/>
    <w:rsid w:val="00852818"/>
    <w:rsid w:val="0086428F"/>
    <w:rsid w:val="00872168"/>
    <w:rsid w:val="0089469D"/>
    <w:rsid w:val="00894BF2"/>
    <w:rsid w:val="008A3261"/>
    <w:rsid w:val="008A6863"/>
    <w:rsid w:val="008B4A5F"/>
    <w:rsid w:val="008B5EC6"/>
    <w:rsid w:val="008B7F4E"/>
    <w:rsid w:val="008C03DD"/>
    <w:rsid w:val="008D7C1A"/>
    <w:rsid w:val="009005D3"/>
    <w:rsid w:val="009049C6"/>
    <w:rsid w:val="009103D0"/>
    <w:rsid w:val="00915053"/>
    <w:rsid w:val="009231F6"/>
    <w:rsid w:val="00924505"/>
    <w:rsid w:val="009255B9"/>
    <w:rsid w:val="00925940"/>
    <w:rsid w:val="00932203"/>
    <w:rsid w:val="00942629"/>
    <w:rsid w:val="00971D4B"/>
    <w:rsid w:val="00976909"/>
    <w:rsid w:val="009907A0"/>
    <w:rsid w:val="00991955"/>
    <w:rsid w:val="00993B15"/>
    <w:rsid w:val="00994164"/>
    <w:rsid w:val="00996997"/>
    <w:rsid w:val="00997C5D"/>
    <w:rsid w:val="009C05C7"/>
    <w:rsid w:val="009D5DF0"/>
    <w:rsid w:val="009F1041"/>
    <w:rsid w:val="009F2CC1"/>
    <w:rsid w:val="009F7663"/>
    <w:rsid w:val="00A0137C"/>
    <w:rsid w:val="00A0240A"/>
    <w:rsid w:val="00A0626A"/>
    <w:rsid w:val="00A134F1"/>
    <w:rsid w:val="00A13D53"/>
    <w:rsid w:val="00A300B1"/>
    <w:rsid w:val="00A32B35"/>
    <w:rsid w:val="00A403A3"/>
    <w:rsid w:val="00A41602"/>
    <w:rsid w:val="00A46C4E"/>
    <w:rsid w:val="00A6042D"/>
    <w:rsid w:val="00A70222"/>
    <w:rsid w:val="00A77FEE"/>
    <w:rsid w:val="00A8295A"/>
    <w:rsid w:val="00AA09A5"/>
    <w:rsid w:val="00AB1932"/>
    <w:rsid w:val="00AB29ED"/>
    <w:rsid w:val="00AB3452"/>
    <w:rsid w:val="00AD4E71"/>
    <w:rsid w:val="00AE4EF5"/>
    <w:rsid w:val="00B076BB"/>
    <w:rsid w:val="00B153A4"/>
    <w:rsid w:val="00B1798D"/>
    <w:rsid w:val="00B275A8"/>
    <w:rsid w:val="00B3564A"/>
    <w:rsid w:val="00B4551B"/>
    <w:rsid w:val="00B61AC3"/>
    <w:rsid w:val="00B63C15"/>
    <w:rsid w:val="00B67497"/>
    <w:rsid w:val="00B77A95"/>
    <w:rsid w:val="00B80AE1"/>
    <w:rsid w:val="00B82B45"/>
    <w:rsid w:val="00B837B4"/>
    <w:rsid w:val="00B8638E"/>
    <w:rsid w:val="00B95F15"/>
    <w:rsid w:val="00BE11D5"/>
    <w:rsid w:val="00BF7ECA"/>
    <w:rsid w:val="00C1277A"/>
    <w:rsid w:val="00C1490F"/>
    <w:rsid w:val="00C66B3A"/>
    <w:rsid w:val="00C6734B"/>
    <w:rsid w:val="00C73894"/>
    <w:rsid w:val="00C75426"/>
    <w:rsid w:val="00C763A5"/>
    <w:rsid w:val="00CA1C69"/>
    <w:rsid w:val="00CA767C"/>
    <w:rsid w:val="00CB25C7"/>
    <w:rsid w:val="00CC2386"/>
    <w:rsid w:val="00CC4D3D"/>
    <w:rsid w:val="00CC4E69"/>
    <w:rsid w:val="00CD4FEC"/>
    <w:rsid w:val="00CD66D9"/>
    <w:rsid w:val="00CD6ED7"/>
    <w:rsid w:val="00CE23DC"/>
    <w:rsid w:val="00CE607A"/>
    <w:rsid w:val="00CF400E"/>
    <w:rsid w:val="00D201D9"/>
    <w:rsid w:val="00D37108"/>
    <w:rsid w:val="00D40263"/>
    <w:rsid w:val="00D42A29"/>
    <w:rsid w:val="00D430B3"/>
    <w:rsid w:val="00D50F24"/>
    <w:rsid w:val="00D62089"/>
    <w:rsid w:val="00D65767"/>
    <w:rsid w:val="00D74BC6"/>
    <w:rsid w:val="00D7665C"/>
    <w:rsid w:val="00D95C7A"/>
    <w:rsid w:val="00DD3488"/>
    <w:rsid w:val="00DD4AEE"/>
    <w:rsid w:val="00DE0F40"/>
    <w:rsid w:val="00DF2308"/>
    <w:rsid w:val="00DF4A1B"/>
    <w:rsid w:val="00DF4BC7"/>
    <w:rsid w:val="00E01656"/>
    <w:rsid w:val="00E02DD1"/>
    <w:rsid w:val="00E037E5"/>
    <w:rsid w:val="00E039EC"/>
    <w:rsid w:val="00E11D26"/>
    <w:rsid w:val="00E16258"/>
    <w:rsid w:val="00E179BF"/>
    <w:rsid w:val="00E238A7"/>
    <w:rsid w:val="00E23FBA"/>
    <w:rsid w:val="00E258E8"/>
    <w:rsid w:val="00E34C05"/>
    <w:rsid w:val="00E44B82"/>
    <w:rsid w:val="00E4703D"/>
    <w:rsid w:val="00E52A21"/>
    <w:rsid w:val="00E53B4E"/>
    <w:rsid w:val="00E6602C"/>
    <w:rsid w:val="00E712A1"/>
    <w:rsid w:val="00EA220E"/>
    <w:rsid w:val="00EA6371"/>
    <w:rsid w:val="00EB7C68"/>
    <w:rsid w:val="00EC08C7"/>
    <w:rsid w:val="00ED1277"/>
    <w:rsid w:val="00EE3587"/>
    <w:rsid w:val="00EE35E5"/>
    <w:rsid w:val="00EF106C"/>
    <w:rsid w:val="00EF5BE4"/>
    <w:rsid w:val="00EF6431"/>
    <w:rsid w:val="00F02F56"/>
    <w:rsid w:val="00F10FB1"/>
    <w:rsid w:val="00F11309"/>
    <w:rsid w:val="00F21C17"/>
    <w:rsid w:val="00F26ADB"/>
    <w:rsid w:val="00F357C0"/>
    <w:rsid w:val="00F64327"/>
    <w:rsid w:val="00F71F80"/>
    <w:rsid w:val="00F771EA"/>
    <w:rsid w:val="00FA4391"/>
    <w:rsid w:val="00FA52E2"/>
    <w:rsid w:val="00FC0376"/>
    <w:rsid w:val="00FD060E"/>
    <w:rsid w:val="00FD59AF"/>
    <w:rsid w:val="00FE2B40"/>
    <w:rsid w:val="00FE75BA"/>
    <w:rsid w:val="00FF3389"/>
    <w:rsid w:val="00FF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F3953-31E3-4F9E-9935-3F09295C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56"/>
  </w:style>
  <w:style w:type="paragraph" w:styleId="1">
    <w:name w:val="heading 1"/>
    <w:basedOn w:val="a"/>
    <w:next w:val="a"/>
    <w:link w:val="10"/>
    <w:uiPriority w:val="99"/>
    <w:qFormat/>
    <w:rsid w:val="00CC2386"/>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CC2386"/>
    <w:pPr>
      <w:keepNext/>
      <w:spacing w:before="240" w:after="60" w:line="240" w:lineRule="auto"/>
      <w:jc w:val="both"/>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CC2386"/>
    <w:pPr>
      <w:keepNext/>
      <w:spacing w:before="240" w:after="60" w:line="240" w:lineRule="auto"/>
      <w:jc w:val="both"/>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CC2386"/>
    <w:pPr>
      <w:keepNext/>
      <w:spacing w:before="240" w:after="60" w:line="240" w:lineRule="auto"/>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CC2386"/>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CC2386"/>
    <w:pPr>
      <w:spacing w:before="240" w:after="60" w:line="240" w:lineRule="auto"/>
      <w:jc w:val="both"/>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CC2386"/>
    <w:pPr>
      <w:spacing w:before="240" w:after="60" w:line="240" w:lineRule="auto"/>
      <w:jc w:val="both"/>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CC2386"/>
    <w:pPr>
      <w:spacing w:before="240" w:after="60" w:line="240" w:lineRule="auto"/>
      <w:jc w:val="both"/>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9"/>
    <w:qFormat/>
    <w:rsid w:val="00CC2386"/>
    <w:pPr>
      <w:spacing w:before="240" w:after="60" w:line="240" w:lineRule="auto"/>
      <w:jc w:val="both"/>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0F2"/>
    <w:pPr>
      <w:ind w:left="720"/>
      <w:contextualSpacing/>
    </w:pPr>
  </w:style>
  <w:style w:type="paragraph" w:styleId="a4">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
    <w:basedOn w:val="a"/>
    <w:link w:val="a5"/>
    <w:uiPriority w:val="99"/>
    <w:unhideWhenUsed/>
    <w:rsid w:val="00B1798D"/>
    <w:pPr>
      <w:spacing w:after="0" w:line="240" w:lineRule="auto"/>
    </w:pPr>
    <w:rPr>
      <w:sz w:val="20"/>
      <w:szCs w:val="20"/>
    </w:rPr>
  </w:style>
  <w:style w:type="character" w:customStyle="1" w:styleId="a5">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
    <w:basedOn w:val="a0"/>
    <w:link w:val="a4"/>
    <w:uiPriority w:val="99"/>
    <w:rsid w:val="00B1798D"/>
    <w:rPr>
      <w:sz w:val="20"/>
      <w:szCs w:val="20"/>
    </w:rPr>
  </w:style>
  <w:style w:type="character" w:styleId="a6">
    <w:name w:val="footnote reference"/>
    <w:aliases w:val="Знак сноски-FN,Ciae niinee-FN,Знак сноски 1,fr,Used by Word for Help footnote symbols,Ссылка на сноску 45,Footnote Reference Number,Referencia nota al pie,Ciae niinee 1,анкета сноска,16 Point,Superscript 6 Point,f,зс,SUPERS,ОР"/>
    <w:basedOn w:val="a0"/>
    <w:unhideWhenUsed/>
    <w:rsid w:val="00B1798D"/>
    <w:rPr>
      <w:vertAlign w:val="superscript"/>
    </w:rPr>
  </w:style>
  <w:style w:type="paragraph" w:styleId="a7">
    <w:name w:val="Balloon Text"/>
    <w:basedOn w:val="a"/>
    <w:link w:val="a8"/>
    <w:uiPriority w:val="99"/>
    <w:semiHidden/>
    <w:unhideWhenUsed/>
    <w:rsid w:val="006F51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12A"/>
    <w:rPr>
      <w:rFonts w:ascii="Tahoma" w:hAnsi="Tahoma" w:cs="Tahoma"/>
      <w:sz w:val="16"/>
      <w:szCs w:val="16"/>
    </w:rPr>
  </w:style>
  <w:style w:type="table" w:styleId="a9">
    <w:name w:val="Table Grid"/>
    <w:basedOn w:val="a1"/>
    <w:uiPriority w:val="59"/>
    <w:rsid w:val="00392F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356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564A"/>
  </w:style>
  <w:style w:type="paragraph" w:styleId="ac">
    <w:name w:val="footer"/>
    <w:basedOn w:val="a"/>
    <w:link w:val="ad"/>
    <w:uiPriority w:val="99"/>
    <w:unhideWhenUsed/>
    <w:rsid w:val="00B356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564A"/>
  </w:style>
  <w:style w:type="paragraph" w:customStyle="1" w:styleId="MainText">
    <w:name w:val="Main Text"/>
    <w:basedOn w:val="a"/>
    <w:qFormat/>
    <w:rsid w:val="00D37108"/>
    <w:pPr>
      <w:spacing w:after="0" w:line="360" w:lineRule="auto"/>
      <w:ind w:firstLine="284"/>
      <w:jc w:val="both"/>
    </w:pPr>
    <w:rPr>
      <w:rFonts w:ascii="Times New Roman" w:hAnsi="Times New Roman" w:cs="Times New Roman"/>
      <w:color w:val="000000"/>
      <w:lang w:val="en-US"/>
    </w:rPr>
  </w:style>
  <w:style w:type="paragraph" w:customStyle="1" w:styleId="References">
    <w:name w:val="References"/>
    <w:basedOn w:val="a"/>
    <w:qFormat/>
    <w:rsid w:val="004A3492"/>
    <w:pPr>
      <w:numPr>
        <w:numId w:val="2"/>
      </w:numPr>
      <w:spacing w:after="40" w:line="360" w:lineRule="auto"/>
      <w:jc w:val="both"/>
    </w:pPr>
    <w:rPr>
      <w:rFonts w:ascii="Times New Roman" w:eastAsia="Times New Roman" w:hAnsi="Times New Roman" w:cs="Times New Roman"/>
      <w:sz w:val="18"/>
      <w:szCs w:val="18"/>
      <w:lang w:val="en-US" w:eastAsia="ru-RU"/>
    </w:rPr>
  </w:style>
  <w:style w:type="character" w:styleId="ae">
    <w:name w:val="Hyperlink"/>
    <w:basedOn w:val="a0"/>
    <w:uiPriority w:val="99"/>
    <w:unhideWhenUsed/>
    <w:rsid w:val="006E5820"/>
    <w:rPr>
      <w:color w:val="0000FF" w:themeColor="hyperlink"/>
      <w:u w:val="single"/>
    </w:rPr>
  </w:style>
  <w:style w:type="character" w:styleId="af">
    <w:name w:val="FollowedHyperlink"/>
    <w:basedOn w:val="a0"/>
    <w:uiPriority w:val="99"/>
    <w:semiHidden/>
    <w:unhideWhenUsed/>
    <w:rsid w:val="006E5820"/>
    <w:rPr>
      <w:color w:val="800080" w:themeColor="followedHyperlink"/>
      <w:u w:val="single"/>
    </w:rPr>
  </w:style>
  <w:style w:type="character" w:customStyle="1" w:styleId="shorttext">
    <w:name w:val="short_text"/>
    <w:basedOn w:val="a0"/>
    <w:rsid w:val="007C35FA"/>
  </w:style>
  <w:style w:type="character" w:customStyle="1" w:styleId="10">
    <w:name w:val="Заголовок 1 Знак"/>
    <w:basedOn w:val="a0"/>
    <w:link w:val="1"/>
    <w:uiPriority w:val="99"/>
    <w:rsid w:val="00CC238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CC238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CC2386"/>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CC238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CC23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CC2386"/>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CC2386"/>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CC2386"/>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9"/>
    <w:rsid w:val="00CC2386"/>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CC2386"/>
  </w:style>
  <w:style w:type="character" w:styleId="af0">
    <w:name w:val="page number"/>
    <w:uiPriority w:val="99"/>
    <w:rsid w:val="00CC2386"/>
    <w:rPr>
      <w:rFonts w:ascii="HeliosCond" w:hAnsi="HeliosCond" w:cs="Times New Roman"/>
      <w:b/>
      <w:color w:val="C00000"/>
      <w:sz w:val="24"/>
    </w:rPr>
  </w:style>
  <w:style w:type="paragraph" w:styleId="af1">
    <w:name w:val="Document Map"/>
    <w:basedOn w:val="a"/>
    <w:link w:val="af2"/>
    <w:uiPriority w:val="99"/>
    <w:semiHidden/>
    <w:rsid w:val="00CC2386"/>
    <w:pPr>
      <w:shd w:val="clear" w:color="auto" w:fill="000080"/>
      <w:spacing w:after="0" w:line="240" w:lineRule="auto"/>
      <w:jc w:val="both"/>
    </w:pPr>
    <w:rPr>
      <w:rFonts w:ascii="Times New Roman" w:eastAsia="Times New Roman" w:hAnsi="Times New Roman" w:cs="Times New Roman"/>
      <w:sz w:val="2"/>
      <w:szCs w:val="20"/>
      <w:lang w:val="x-none"/>
    </w:rPr>
  </w:style>
  <w:style w:type="character" w:customStyle="1" w:styleId="af2">
    <w:name w:val="Схема документа Знак"/>
    <w:basedOn w:val="a0"/>
    <w:link w:val="af1"/>
    <w:uiPriority w:val="99"/>
    <w:semiHidden/>
    <w:rsid w:val="00CC2386"/>
    <w:rPr>
      <w:rFonts w:ascii="Times New Roman" w:eastAsia="Times New Roman" w:hAnsi="Times New Roman" w:cs="Times New Roman"/>
      <w:sz w:val="2"/>
      <w:szCs w:val="20"/>
      <w:shd w:val="clear" w:color="auto" w:fill="000080"/>
      <w:lang w:val="x-none"/>
    </w:rPr>
  </w:style>
  <w:style w:type="paragraph" w:customStyle="1" w:styleId="04">
    <w:name w:val="04 Основной"/>
    <w:basedOn w:val="a"/>
    <w:link w:val="040"/>
    <w:rsid w:val="00CC2386"/>
    <w:pPr>
      <w:spacing w:after="0" w:line="240" w:lineRule="auto"/>
      <w:ind w:firstLine="709"/>
      <w:jc w:val="both"/>
    </w:pPr>
    <w:rPr>
      <w:rFonts w:ascii="OfficinaSansCTT" w:eastAsia="Times New Roman" w:hAnsi="OfficinaSansCTT" w:cs="Times New Roman"/>
      <w:sz w:val="24"/>
      <w:szCs w:val="24"/>
    </w:rPr>
  </w:style>
  <w:style w:type="character" w:customStyle="1" w:styleId="040">
    <w:name w:val="04 Основной Знак"/>
    <w:link w:val="04"/>
    <w:locked/>
    <w:rsid w:val="00CC2386"/>
    <w:rPr>
      <w:rFonts w:ascii="OfficinaSansCTT" w:eastAsia="Times New Roman" w:hAnsi="OfficinaSansCTT" w:cs="Times New Roman"/>
      <w:sz w:val="24"/>
      <w:szCs w:val="24"/>
    </w:rPr>
  </w:style>
  <w:style w:type="paragraph" w:customStyle="1" w:styleId="02">
    <w:name w:val="02 Заголовок"/>
    <w:basedOn w:val="a"/>
    <w:link w:val="020"/>
    <w:uiPriority w:val="99"/>
    <w:rsid w:val="00CC2386"/>
    <w:pPr>
      <w:spacing w:before="360" w:after="240" w:line="240" w:lineRule="auto"/>
      <w:ind w:firstLine="709"/>
    </w:pPr>
    <w:rPr>
      <w:rFonts w:ascii="HeliosCond" w:eastAsia="Times New Roman" w:hAnsi="HeliosCond" w:cs="Times New Roman"/>
      <w:b/>
      <w:color w:val="C00000"/>
      <w:sz w:val="28"/>
      <w:szCs w:val="28"/>
    </w:rPr>
  </w:style>
  <w:style w:type="character" w:customStyle="1" w:styleId="020">
    <w:name w:val="02 Заголовок Знак"/>
    <w:link w:val="02"/>
    <w:uiPriority w:val="99"/>
    <w:locked/>
    <w:rsid w:val="00CC2386"/>
    <w:rPr>
      <w:rFonts w:ascii="HeliosCond" w:eastAsia="Times New Roman" w:hAnsi="HeliosCond" w:cs="Times New Roman"/>
      <w:b/>
      <w:color w:val="C00000"/>
      <w:sz w:val="28"/>
      <w:szCs w:val="28"/>
    </w:rPr>
  </w:style>
  <w:style w:type="paragraph" w:customStyle="1" w:styleId="05">
    <w:name w:val="05 Таблица"/>
    <w:basedOn w:val="a"/>
    <w:link w:val="050"/>
    <w:uiPriority w:val="99"/>
    <w:rsid w:val="00CC2386"/>
    <w:pPr>
      <w:spacing w:before="240" w:after="0" w:line="240" w:lineRule="auto"/>
      <w:jc w:val="right"/>
    </w:pPr>
    <w:rPr>
      <w:rFonts w:ascii="OfficinaSansCTT" w:eastAsia="Times New Roman" w:hAnsi="OfficinaSansCTT" w:cs="Times New Roman"/>
      <w:i/>
      <w:sz w:val="24"/>
      <w:szCs w:val="24"/>
      <w:lang w:eastAsia="ru-RU"/>
    </w:rPr>
  </w:style>
  <w:style w:type="character" w:customStyle="1" w:styleId="050">
    <w:name w:val="05 Таблица Знак"/>
    <w:link w:val="05"/>
    <w:uiPriority w:val="99"/>
    <w:locked/>
    <w:rsid w:val="00CC2386"/>
    <w:rPr>
      <w:rFonts w:ascii="OfficinaSansCTT" w:eastAsia="Times New Roman" w:hAnsi="OfficinaSansCTT" w:cs="Times New Roman"/>
      <w:i/>
      <w:sz w:val="24"/>
      <w:szCs w:val="24"/>
      <w:lang w:eastAsia="ru-RU"/>
    </w:rPr>
  </w:style>
  <w:style w:type="paragraph" w:customStyle="1" w:styleId="06">
    <w:name w:val="06 Табл назв"/>
    <w:basedOn w:val="a"/>
    <w:link w:val="060"/>
    <w:uiPriority w:val="99"/>
    <w:rsid w:val="00CC2386"/>
    <w:pPr>
      <w:spacing w:after="0" w:line="240" w:lineRule="auto"/>
      <w:jc w:val="center"/>
    </w:pPr>
    <w:rPr>
      <w:rFonts w:ascii="HeliosCond" w:eastAsia="Times New Roman" w:hAnsi="HeliosCond" w:cs="Times New Roman"/>
      <w:b/>
      <w:color w:val="5F5F5F"/>
      <w:sz w:val="24"/>
      <w:szCs w:val="24"/>
      <w:lang w:eastAsia="ru-RU"/>
    </w:rPr>
  </w:style>
  <w:style w:type="character" w:customStyle="1" w:styleId="060">
    <w:name w:val="06 Табл назв Знак"/>
    <w:link w:val="06"/>
    <w:uiPriority w:val="99"/>
    <w:locked/>
    <w:rsid w:val="00CC2386"/>
    <w:rPr>
      <w:rFonts w:ascii="HeliosCond" w:eastAsia="Times New Roman" w:hAnsi="HeliosCond" w:cs="Times New Roman"/>
      <w:b/>
      <w:color w:val="5F5F5F"/>
      <w:sz w:val="24"/>
      <w:szCs w:val="24"/>
      <w:lang w:eastAsia="ru-RU"/>
    </w:rPr>
  </w:style>
  <w:style w:type="paragraph" w:customStyle="1" w:styleId="07">
    <w:name w:val="07 проценты"/>
    <w:basedOn w:val="a"/>
    <w:link w:val="070"/>
    <w:uiPriority w:val="99"/>
    <w:rsid w:val="00CC2386"/>
    <w:pPr>
      <w:spacing w:after="60" w:line="240" w:lineRule="auto"/>
      <w:jc w:val="center"/>
    </w:pPr>
    <w:rPr>
      <w:rFonts w:ascii="OfficinaSansCTT" w:eastAsia="Times New Roman" w:hAnsi="OfficinaSansCTT" w:cs="Times New Roman"/>
      <w:i/>
    </w:rPr>
  </w:style>
  <w:style w:type="character" w:customStyle="1" w:styleId="070">
    <w:name w:val="07 проценты Знак"/>
    <w:link w:val="07"/>
    <w:uiPriority w:val="99"/>
    <w:locked/>
    <w:rsid w:val="00CC2386"/>
    <w:rPr>
      <w:rFonts w:ascii="OfficinaSansCTT" w:eastAsia="Times New Roman" w:hAnsi="OfficinaSansCTT" w:cs="Times New Roman"/>
      <w:i/>
    </w:rPr>
  </w:style>
  <w:style w:type="paragraph" w:customStyle="1" w:styleId="08">
    <w:name w:val="08 Шапка"/>
    <w:basedOn w:val="a"/>
    <w:uiPriority w:val="99"/>
    <w:rsid w:val="00CC2386"/>
    <w:pPr>
      <w:spacing w:before="60" w:after="60" w:line="220" w:lineRule="exact"/>
      <w:jc w:val="center"/>
    </w:pPr>
    <w:rPr>
      <w:rFonts w:ascii="OfficinaSansCTT" w:eastAsia="Times New Roman" w:hAnsi="OfficinaSansCTT" w:cs="Times New Roman"/>
      <w:sz w:val="18"/>
      <w:szCs w:val="18"/>
      <w:lang w:eastAsia="ru-RU"/>
    </w:rPr>
  </w:style>
  <w:style w:type="paragraph" w:customStyle="1" w:styleId="09">
    <w:name w:val="09 Боковик"/>
    <w:basedOn w:val="a"/>
    <w:uiPriority w:val="99"/>
    <w:rsid w:val="00CC2386"/>
    <w:pPr>
      <w:spacing w:before="60" w:after="60" w:line="240" w:lineRule="exact"/>
    </w:pPr>
    <w:rPr>
      <w:rFonts w:ascii="OfficinaSansCTT" w:eastAsia="Times New Roman" w:hAnsi="OfficinaSansCTT" w:cs="Times New Roman"/>
      <w:sz w:val="20"/>
      <w:szCs w:val="20"/>
      <w:lang w:eastAsia="ru-RU"/>
    </w:rPr>
  </w:style>
  <w:style w:type="paragraph" w:customStyle="1" w:styleId="100">
    <w:name w:val="10 Цифры"/>
    <w:basedOn w:val="a"/>
    <w:link w:val="101"/>
    <w:uiPriority w:val="99"/>
    <w:rsid w:val="00CC2386"/>
    <w:pPr>
      <w:spacing w:before="60" w:after="60" w:line="240" w:lineRule="exact"/>
      <w:jc w:val="center"/>
    </w:pPr>
    <w:rPr>
      <w:rFonts w:ascii="HeliosCond" w:eastAsia="Times New Roman" w:hAnsi="HeliosCond" w:cs="Times New Roman"/>
      <w:sz w:val="20"/>
      <w:szCs w:val="20"/>
      <w:lang w:eastAsia="ru-RU"/>
    </w:rPr>
  </w:style>
  <w:style w:type="character" w:customStyle="1" w:styleId="101">
    <w:name w:val="10 Цифры Знак"/>
    <w:link w:val="100"/>
    <w:uiPriority w:val="99"/>
    <w:locked/>
    <w:rsid w:val="00CC2386"/>
    <w:rPr>
      <w:rFonts w:ascii="HeliosCond" w:eastAsia="Times New Roman" w:hAnsi="HeliosCond" w:cs="Times New Roman"/>
      <w:sz w:val="20"/>
      <w:szCs w:val="20"/>
      <w:lang w:eastAsia="ru-RU"/>
    </w:rPr>
  </w:style>
  <w:style w:type="paragraph" w:customStyle="1" w:styleId="110">
    <w:name w:val="11 Рис название"/>
    <w:basedOn w:val="a"/>
    <w:link w:val="111"/>
    <w:uiPriority w:val="99"/>
    <w:rsid w:val="00CC2386"/>
    <w:pPr>
      <w:spacing w:before="240" w:after="0" w:line="240" w:lineRule="auto"/>
      <w:jc w:val="center"/>
    </w:pPr>
    <w:rPr>
      <w:rFonts w:ascii="HeliosCond" w:eastAsia="Times New Roman" w:hAnsi="HeliosCond" w:cs="Times New Roman"/>
      <w:b/>
      <w:color w:val="5F5F5F"/>
      <w:sz w:val="24"/>
      <w:szCs w:val="24"/>
    </w:rPr>
  </w:style>
  <w:style w:type="character" w:customStyle="1" w:styleId="111">
    <w:name w:val="11 Рис название Знак"/>
    <w:link w:val="110"/>
    <w:uiPriority w:val="99"/>
    <w:locked/>
    <w:rsid w:val="00CC2386"/>
    <w:rPr>
      <w:rFonts w:ascii="HeliosCond" w:eastAsia="Times New Roman" w:hAnsi="HeliosCond" w:cs="Times New Roman"/>
      <w:b/>
      <w:color w:val="5F5F5F"/>
      <w:sz w:val="24"/>
      <w:szCs w:val="24"/>
    </w:rPr>
  </w:style>
  <w:style w:type="character" w:customStyle="1" w:styleId="12">
    <w:name w:val="12 Рис"/>
    <w:rsid w:val="00CC2386"/>
    <w:rPr>
      <w:rFonts w:ascii="OfficinaSansCTT" w:hAnsi="OfficinaSansCTT" w:cs="Times New Roman"/>
      <w:i/>
      <w:color w:val="auto"/>
      <w:sz w:val="24"/>
    </w:rPr>
  </w:style>
  <w:style w:type="paragraph" w:customStyle="1" w:styleId="03">
    <w:name w:val="03 Заголовок"/>
    <w:basedOn w:val="2"/>
    <w:uiPriority w:val="99"/>
    <w:rsid w:val="00CC2386"/>
    <w:pPr>
      <w:spacing w:after="120"/>
      <w:jc w:val="center"/>
    </w:pPr>
    <w:rPr>
      <w:rFonts w:ascii="HeliosCond" w:hAnsi="HeliosCond"/>
      <w:bCs w:val="0"/>
      <w:i w:val="0"/>
      <w:iCs w:val="0"/>
      <w:sz w:val="24"/>
      <w:szCs w:val="24"/>
    </w:rPr>
  </w:style>
  <w:style w:type="paragraph" w:customStyle="1" w:styleId="13">
    <w:name w:val="13 Сноска"/>
    <w:basedOn w:val="a"/>
    <w:link w:val="130"/>
    <w:rsid w:val="00CC2386"/>
    <w:pPr>
      <w:spacing w:after="0" w:line="240" w:lineRule="auto"/>
      <w:jc w:val="both"/>
    </w:pPr>
    <w:rPr>
      <w:rFonts w:ascii="OfficinaSansCTT" w:eastAsia="Times New Roman" w:hAnsi="OfficinaSansCTT" w:cs="Calibri"/>
      <w:sz w:val="20"/>
      <w:szCs w:val="20"/>
    </w:rPr>
  </w:style>
  <w:style w:type="paragraph" w:styleId="af3">
    <w:name w:val="caption"/>
    <w:basedOn w:val="a"/>
    <w:next w:val="a"/>
    <w:qFormat/>
    <w:rsid w:val="00CC2386"/>
    <w:pPr>
      <w:spacing w:after="0" w:line="240" w:lineRule="auto"/>
      <w:jc w:val="both"/>
    </w:pPr>
    <w:rPr>
      <w:rFonts w:ascii="Times New Roman" w:eastAsia="Times New Roman" w:hAnsi="Times New Roman" w:cs="Times New Roman"/>
      <w:b/>
      <w:bCs/>
      <w:sz w:val="20"/>
      <w:szCs w:val="20"/>
    </w:rPr>
  </w:style>
  <w:style w:type="character" w:customStyle="1" w:styleId="130">
    <w:name w:val="13 Сноска Знак"/>
    <w:link w:val="13"/>
    <w:locked/>
    <w:rsid w:val="00CC2386"/>
    <w:rPr>
      <w:rFonts w:ascii="OfficinaSansCTT" w:eastAsia="Times New Roman" w:hAnsi="OfficinaSansCTT" w:cs="Calibri"/>
      <w:sz w:val="20"/>
      <w:szCs w:val="20"/>
    </w:rPr>
  </w:style>
  <w:style w:type="character" w:customStyle="1" w:styleId="af4">
    <w:name w:val="Символ сноски"/>
    <w:rsid w:val="00CC2386"/>
    <w:rPr>
      <w:rFonts w:cs="Times New Roman"/>
      <w:vertAlign w:val="superscript"/>
    </w:rPr>
  </w:style>
  <w:style w:type="paragraph" w:customStyle="1" w:styleId="1113">
    <w:name w:val="1.1.1 Заголовок 3"/>
    <w:basedOn w:val="2"/>
    <w:rsid w:val="00CC2386"/>
    <w:pPr>
      <w:tabs>
        <w:tab w:val="num" w:pos="1429"/>
      </w:tabs>
      <w:spacing w:after="120"/>
      <w:ind w:left="1429" w:hanging="720"/>
      <w:jc w:val="left"/>
      <w:outlineLvl w:val="2"/>
    </w:pPr>
    <w:rPr>
      <w:rFonts w:ascii="Times New Roman" w:hAnsi="Times New Roman"/>
      <w:b w:val="0"/>
      <w:i w:val="0"/>
      <w:iCs w:val="0"/>
      <w:sz w:val="24"/>
      <w:szCs w:val="20"/>
      <w:lang w:val="ru-RU" w:eastAsia="ru-RU"/>
    </w:rPr>
  </w:style>
  <w:style w:type="paragraph" w:customStyle="1" w:styleId="333">
    <w:name w:val="Заголовок 3.3.3"/>
    <w:basedOn w:val="2"/>
    <w:rsid w:val="00CC2386"/>
    <w:pPr>
      <w:tabs>
        <w:tab w:val="num" w:pos="1208"/>
        <w:tab w:val="left" w:pos="1429"/>
      </w:tabs>
      <w:spacing w:after="120"/>
      <w:ind w:left="1208" w:hanging="499"/>
      <w:jc w:val="left"/>
    </w:pPr>
    <w:rPr>
      <w:rFonts w:ascii="Times New Roman" w:hAnsi="Times New Roman"/>
      <w:bCs w:val="0"/>
      <w:i w:val="0"/>
      <w:iCs w:val="0"/>
      <w:sz w:val="24"/>
      <w:szCs w:val="26"/>
      <w:lang w:val="ru-RU" w:eastAsia="ru-RU"/>
    </w:rPr>
  </w:style>
  <w:style w:type="character" w:styleId="af5">
    <w:name w:val="Placeholder Text"/>
    <w:basedOn w:val="a0"/>
    <w:uiPriority w:val="99"/>
    <w:semiHidden/>
    <w:rsid w:val="00551709"/>
    <w:rPr>
      <w:color w:val="808080"/>
    </w:rPr>
  </w:style>
  <w:style w:type="paragraph" w:customStyle="1" w:styleId="Tablecaption">
    <w:name w:val="Table caption"/>
    <w:basedOn w:val="a"/>
    <w:qFormat/>
    <w:rsid w:val="00BF7ECA"/>
    <w:pPr>
      <w:spacing w:before="120" w:after="120" w:line="360" w:lineRule="auto"/>
      <w:jc w:val="center"/>
    </w:pPr>
    <w:rPr>
      <w:rFonts w:ascii="Times New Roman" w:eastAsia="Times New Roman" w:hAnsi="Times New Roman" w:cs="Times New Roman"/>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917A5EB-E5DD-42D1-BC9E-83C3D98C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Tamara</cp:lastModifiedBy>
  <cp:revision>5</cp:revision>
  <cp:lastPrinted>2018-04-13T13:30:00Z</cp:lastPrinted>
  <dcterms:created xsi:type="dcterms:W3CDTF">2018-04-15T17:03:00Z</dcterms:created>
  <dcterms:modified xsi:type="dcterms:W3CDTF">2018-04-15T18:08:00Z</dcterms:modified>
</cp:coreProperties>
</file>